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AD258">
      <w:pPr>
        <w:widowControl/>
        <w:kinsoku w:val="0"/>
        <w:autoSpaceDE w:val="0"/>
        <w:autoSpaceDN w:val="0"/>
        <w:adjustRightInd w:val="0"/>
        <w:snapToGrid w:val="0"/>
        <w:spacing w:before="323" w:line="228" w:lineRule="auto"/>
        <w:ind w:firstLine="896" w:firstLineChars="200"/>
        <w:textAlignment w:val="baseline"/>
        <w:rPr>
          <w:rFonts w:ascii="黑体" w:hAnsi="黑体" w:eastAsia="黑体" w:cs="黑体"/>
          <w:snapToGrid w:val="0"/>
          <w:color w:val="000000"/>
          <w:kern w:val="0"/>
          <w:sz w:val="47"/>
          <w:szCs w:val="47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1"/>
          <w:kern w:val="0"/>
          <w:sz w:val="47"/>
          <w:szCs w:val="47"/>
          <w:lang w:eastAsia="en-US"/>
        </w:rPr>
        <w:t>团</w:t>
      </w:r>
      <w:r>
        <w:rPr>
          <w:rFonts w:ascii="黑体" w:hAnsi="黑体" w:eastAsia="黑体" w:cs="黑体"/>
          <w:snapToGrid w:val="0"/>
          <w:color w:val="000000"/>
          <w:spacing w:val="6"/>
          <w:kern w:val="0"/>
          <w:sz w:val="47"/>
          <w:szCs w:val="47"/>
          <w:lang w:eastAsia="en-US"/>
        </w:rPr>
        <w:t xml:space="preserve">         </w:t>
      </w:r>
      <w:r>
        <w:rPr>
          <w:rFonts w:ascii="黑体" w:hAnsi="黑体" w:eastAsia="黑体" w:cs="黑体"/>
          <w:snapToGrid w:val="0"/>
          <w:color w:val="000000"/>
          <w:spacing w:val="-11"/>
          <w:kern w:val="0"/>
          <w:sz w:val="47"/>
          <w:szCs w:val="47"/>
          <w:lang w:eastAsia="en-US"/>
        </w:rPr>
        <w:t>体</w:t>
      </w:r>
      <w:r>
        <w:rPr>
          <w:rFonts w:ascii="黑体" w:hAnsi="黑体" w:eastAsia="黑体" w:cs="黑体"/>
          <w:snapToGrid w:val="0"/>
          <w:color w:val="000000"/>
          <w:spacing w:val="5"/>
          <w:kern w:val="0"/>
          <w:sz w:val="47"/>
          <w:szCs w:val="47"/>
          <w:lang w:eastAsia="en-US"/>
        </w:rPr>
        <w:t xml:space="preserve">         </w:t>
      </w:r>
      <w:r>
        <w:rPr>
          <w:rFonts w:ascii="黑体" w:hAnsi="黑体" w:eastAsia="黑体" w:cs="黑体"/>
          <w:snapToGrid w:val="0"/>
          <w:color w:val="000000"/>
          <w:spacing w:val="-11"/>
          <w:kern w:val="0"/>
          <w:sz w:val="47"/>
          <w:szCs w:val="47"/>
          <w:lang w:eastAsia="en-US"/>
        </w:rPr>
        <w:t>标</w:t>
      </w:r>
      <w:r>
        <w:rPr>
          <w:rFonts w:ascii="黑体" w:hAnsi="黑体" w:eastAsia="黑体" w:cs="黑体"/>
          <w:snapToGrid w:val="0"/>
          <w:color w:val="000000"/>
          <w:spacing w:val="7"/>
          <w:kern w:val="0"/>
          <w:sz w:val="47"/>
          <w:szCs w:val="47"/>
          <w:lang w:eastAsia="en-US"/>
        </w:rPr>
        <w:t xml:space="preserve">         </w:t>
      </w:r>
      <w:r>
        <w:rPr>
          <w:rFonts w:ascii="黑体" w:hAnsi="黑体" w:eastAsia="黑体" w:cs="黑体"/>
          <w:snapToGrid w:val="0"/>
          <w:color w:val="000000"/>
          <w:spacing w:val="-11"/>
          <w:kern w:val="0"/>
          <w:sz w:val="47"/>
          <w:szCs w:val="47"/>
          <w:lang w:eastAsia="en-US"/>
        </w:rPr>
        <w:t>准</w:t>
      </w:r>
    </w:p>
    <w:p w14:paraId="07455BE1">
      <w:pPr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19D1EFBC">
      <w:pPr>
        <w:widowControl/>
        <w:kinsoku w:val="0"/>
        <w:autoSpaceDE w:val="0"/>
        <w:autoSpaceDN w:val="0"/>
        <w:adjustRightInd w:val="0"/>
        <w:snapToGrid w:val="0"/>
        <w:spacing w:line="29" w:lineRule="exact"/>
        <w:ind w:firstLine="30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</w:rPr>
        <w:drawing>
          <wp:inline distT="0" distB="0" distL="0" distR="0">
            <wp:extent cx="6008370" cy="184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839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AF02A">
      <w:pPr>
        <w:kinsoku w:val="0"/>
        <w:autoSpaceDE w:val="0"/>
        <w:autoSpaceDN w:val="0"/>
        <w:adjustRightInd w:val="0"/>
        <w:snapToGrid w:val="0"/>
        <w:spacing w:line="41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2B2CEAD2">
      <w:pPr>
        <w:widowControl/>
        <w:kinsoku w:val="0"/>
        <w:autoSpaceDE w:val="0"/>
        <w:autoSpaceDN w:val="0"/>
        <w:adjustRightInd w:val="0"/>
        <w:snapToGrid w:val="0"/>
        <w:spacing w:before="91" w:line="226" w:lineRule="auto"/>
        <w:ind w:left="658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T/LSA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</w:rPr>
        <w:t>X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 xml:space="preserve">  0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</w:rPr>
        <w:t>02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—202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</w:rPr>
        <w:t>5</w:t>
      </w:r>
    </w:p>
    <w:p w14:paraId="03E36D79">
      <w:pPr>
        <w:kinsoku w:val="0"/>
        <w:autoSpaceDE w:val="0"/>
        <w:autoSpaceDN w:val="0"/>
        <w:adjustRightInd w:val="0"/>
        <w:snapToGrid w:val="0"/>
        <w:spacing w:line="27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F27CE8E">
      <w:pPr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5940311D">
      <w:pPr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D96C8E7"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火锅经营管理规范</w:t>
      </w:r>
    </w:p>
    <w:p w14:paraId="66AFB04A"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（征求意见稿）</w:t>
      </w:r>
    </w:p>
    <w:p w14:paraId="59C98500">
      <w:pPr>
        <w:kinsoku w:val="0"/>
        <w:autoSpaceDE w:val="0"/>
        <w:autoSpaceDN w:val="0"/>
        <w:adjustRightInd w:val="0"/>
        <w:snapToGrid w:val="0"/>
        <w:spacing w:line="28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559E368B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513CB9C2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23ED70C3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9F9C69B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27AADE4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7ADF6FE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5BF26C28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B4EAACE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27FCC53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A13CF9B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609B83C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D72D95C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7B0B03E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21E11B07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4852C02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7FC0828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3BC6FCFA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31A8826A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67E0A43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3ED3C901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1800C83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61EEA13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73A0F54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0EA07AF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37A00DB4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8D7A1F5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6D6FFF9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F4F633A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748A2C4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00D05E5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333AA2E9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BC530D3">
      <w:pPr>
        <w:widowControl/>
        <w:kinsoku w:val="0"/>
        <w:autoSpaceDE w:val="0"/>
        <w:autoSpaceDN w:val="0"/>
        <w:adjustRightInd w:val="0"/>
        <w:snapToGrid w:val="0"/>
        <w:spacing w:before="92" w:line="228" w:lineRule="auto"/>
        <w:ind w:left="1543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3"/>
          <w:kern w:val="0"/>
          <w:position w:val="-3"/>
          <w:sz w:val="28"/>
          <w:szCs w:val="28"/>
          <w:lang w:eastAsia="en-US"/>
        </w:rPr>
        <w:t>202</w:t>
      </w:r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position w:val="-3"/>
          <w:sz w:val="28"/>
          <w:szCs w:val="28"/>
        </w:rPr>
        <w:t>5</w:t>
      </w:r>
      <w:r>
        <w:rPr>
          <w:rFonts w:ascii="黑体" w:hAnsi="黑体" w:eastAsia="黑体" w:cs="黑体"/>
          <w:snapToGrid w:val="0"/>
          <w:color w:val="000000"/>
          <w:spacing w:val="-3"/>
          <w:kern w:val="0"/>
          <w:position w:val="-3"/>
          <w:sz w:val="28"/>
          <w:szCs w:val="28"/>
          <w:lang w:eastAsia="en-US"/>
        </w:rPr>
        <w:t>-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-3"/>
          <w:kern w:val="0"/>
          <w:position w:val="-3"/>
          <w:sz w:val="28"/>
          <w:szCs w:val="28"/>
        </w:rPr>
        <w:t>00</w:t>
      </w: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position w:val="-3"/>
          <w:sz w:val="28"/>
          <w:szCs w:val="28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3"/>
          <w:kern w:val="0"/>
          <w:position w:val="-3"/>
          <w:sz w:val="28"/>
          <w:szCs w:val="28"/>
          <w:lang w:eastAsia="en-US"/>
        </w:rPr>
        <w:t>-</w:t>
      </w:r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position w:val="-3"/>
          <w:sz w:val="28"/>
          <w:szCs w:val="28"/>
        </w:rPr>
        <w:t>00</w:t>
      </w:r>
      <w:r>
        <w:rPr>
          <w:rFonts w:ascii="黑体" w:hAnsi="黑体" w:eastAsia="黑体" w:cs="黑体"/>
          <w:snapToGrid w:val="0"/>
          <w:color w:val="000000"/>
          <w:spacing w:val="-59"/>
          <w:kern w:val="0"/>
          <w:position w:val="-3"/>
          <w:sz w:val="28"/>
          <w:szCs w:val="28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3"/>
          <w:kern w:val="0"/>
          <w:position w:val="-3"/>
          <w:sz w:val="28"/>
          <w:szCs w:val="28"/>
          <w:lang w:eastAsia="en-US"/>
        </w:rPr>
        <w:t xml:space="preserve">发布               </w:t>
      </w:r>
      <w:r>
        <w:rPr>
          <w:rFonts w:ascii="黑体" w:hAnsi="黑体" w:eastAsia="黑体" w:cs="黑体"/>
          <w:snapToGrid w:val="0"/>
          <w:color w:val="000000"/>
          <w:spacing w:val="-4"/>
          <w:kern w:val="0"/>
          <w:position w:val="-3"/>
          <w:sz w:val="28"/>
          <w:szCs w:val="28"/>
          <w:lang w:eastAsia="en-US"/>
        </w:rPr>
        <w:t xml:space="preserve">          </w:t>
      </w:r>
      <w:r>
        <w:rPr>
          <w:rFonts w:ascii="黑体" w:hAnsi="黑体" w:eastAsia="黑体" w:cs="黑体"/>
          <w:snapToGrid w:val="0"/>
          <w:color w:val="000000"/>
          <w:spacing w:val="-4"/>
          <w:kern w:val="0"/>
          <w:position w:val="2"/>
          <w:sz w:val="28"/>
          <w:szCs w:val="28"/>
          <w:lang w:eastAsia="en-US"/>
        </w:rPr>
        <w:t>202</w:t>
      </w: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position w:val="2"/>
          <w:sz w:val="28"/>
          <w:szCs w:val="28"/>
        </w:rPr>
        <w:t>5</w:t>
      </w:r>
      <w:r>
        <w:rPr>
          <w:rFonts w:ascii="黑体" w:hAnsi="黑体" w:eastAsia="黑体" w:cs="黑体"/>
          <w:snapToGrid w:val="0"/>
          <w:color w:val="000000"/>
          <w:spacing w:val="-4"/>
          <w:kern w:val="0"/>
          <w:position w:val="2"/>
          <w:sz w:val="28"/>
          <w:szCs w:val="28"/>
          <w:lang w:eastAsia="en-US"/>
        </w:rPr>
        <w:t>-</w:t>
      </w: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position w:val="2"/>
          <w:sz w:val="28"/>
          <w:szCs w:val="28"/>
        </w:rPr>
        <w:t>00</w:t>
      </w:r>
      <w:r>
        <w:rPr>
          <w:rFonts w:ascii="黑体" w:hAnsi="黑体" w:eastAsia="黑体" w:cs="黑体"/>
          <w:snapToGrid w:val="0"/>
          <w:color w:val="000000"/>
          <w:spacing w:val="-4"/>
          <w:kern w:val="0"/>
          <w:position w:val="2"/>
          <w:sz w:val="28"/>
          <w:szCs w:val="28"/>
          <w:lang w:eastAsia="en-US"/>
        </w:rPr>
        <w:t>-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-4"/>
          <w:kern w:val="0"/>
          <w:position w:val="2"/>
          <w:sz w:val="28"/>
          <w:szCs w:val="28"/>
        </w:rPr>
        <w:t>00</w:t>
      </w:r>
      <w:r>
        <w:rPr>
          <w:rFonts w:ascii="Times New Roman" w:hAnsi="Times New Roman" w:eastAsia="Times New Roman" w:cs="Times New Roman"/>
          <w:snapToGrid w:val="0"/>
          <w:color w:val="000000"/>
          <w:spacing w:val="17"/>
          <w:kern w:val="0"/>
          <w:position w:val="2"/>
          <w:sz w:val="28"/>
          <w:szCs w:val="28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4"/>
          <w:kern w:val="0"/>
          <w:position w:val="2"/>
          <w:sz w:val="28"/>
          <w:szCs w:val="28"/>
          <w:lang w:eastAsia="en-US"/>
        </w:rPr>
        <w:t>实施</w:t>
      </w:r>
    </w:p>
    <w:p w14:paraId="5EDB5F13">
      <w:pPr>
        <w:widowControl/>
        <w:kinsoku w:val="0"/>
        <w:autoSpaceDE w:val="0"/>
        <w:autoSpaceDN w:val="0"/>
        <w:adjustRightInd w:val="0"/>
        <w:snapToGrid w:val="0"/>
        <w:spacing w:before="164" w:line="3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</w:rPr>
        <w:drawing>
          <wp:inline distT="0" distB="0" distL="0" distR="0">
            <wp:extent cx="6924675" cy="19050"/>
            <wp:effectExtent l="0" t="0" r="9525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4687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366D8">
      <w:pPr>
        <w:kinsoku w:val="0"/>
        <w:autoSpaceDE w:val="0"/>
        <w:autoSpaceDN w:val="0"/>
        <w:adjustRightInd w:val="0"/>
        <w:snapToGrid w:val="0"/>
        <w:spacing w:line="29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D955900">
      <w:pPr>
        <w:kinsoku w:val="0"/>
        <w:autoSpaceDE w:val="0"/>
        <w:autoSpaceDN w:val="0"/>
        <w:adjustRightInd w:val="0"/>
        <w:snapToGrid w:val="0"/>
        <w:spacing w:line="2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2B51E19">
      <w:pPr>
        <w:jc w:val="center"/>
        <w:rPr>
          <w:rFonts w:ascii="黑体" w:hAnsi="黑体" w:eastAsia="黑体" w:cs="黑体"/>
          <w:sz w:val="31"/>
          <w:szCs w:val="31"/>
        </w:rPr>
        <w:sectPr>
          <w:headerReference r:id="rId3" w:type="default"/>
          <w:pgSz w:w="11906" w:h="16838"/>
          <w:pgMar w:top="1429" w:right="96" w:bottom="0" w:left="907" w:header="1418" w:footer="1134" w:gutter="0"/>
          <w:pgNumType w:start="1"/>
          <w:cols w:space="720" w:num="1"/>
          <w:formProt w:val="0"/>
          <w:docGrid w:type="lines" w:linePitch="312" w:charSpace="0"/>
        </w:sectPr>
      </w:pPr>
      <w:r>
        <w:rPr>
          <w:rFonts w:ascii="黑体" w:hAnsi="黑体" w:eastAsia="黑体" w:cs="黑体"/>
          <w:snapToGrid w:val="0"/>
          <w:color w:val="000000"/>
          <w:spacing w:val="36"/>
          <w:w w:val="118"/>
          <w:kern w:val="0"/>
          <w:position w:val="2"/>
          <w:sz w:val="28"/>
          <w:szCs w:val="28"/>
          <w:lang w:eastAsia="en-US"/>
        </w:rPr>
        <w:t>辽宁省食品安全协会</w:t>
      </w:r>
      <w:r>
        <w:rPr>
          <w:rFonts w:ascii="黑体" w:hAnsi="黑体" w:eastAsia="黑体" w:cs="黑体"/>
          <w:snapToGrid w:val="0"/>
          <w:color w:val="000000"/>
          <w:spacing w:val="7"/>
          <w:kern w:val="0"/>
          <w:position w:val="2"/>
          <w:sz w:val="28"/>
          <w:szCs w:val="28"/>
          <w:lang w:eastAsia="en-US"/>
        </w:rPr>
        <w:t xml:space="preserve">  </w:t>
      </w:r>
      <w:r>
        <w:rPr>
          <w:rFonts w:ascii="黑体" w:hAnsi="黑体" w:eastAsia="黑体" w:cs="黑体"/>
          <w:snapToGrid w:val="0"/>
          <w:color w:val="000000"/>
          <w:spacing w:val="36"/>
          <w:w w:val="118"/>
          <w:kern w:val="0"/>
          <w:position w:val="4"/>
          <w:sz w:val="28"/>
          <w:szCs w:val="28"/>
          <w:lang w:eastAsia="en-US"/>
        </w:rPr>
        <w:t>发 布</w:t>
      </w:r>
    </w:p>
    <w:p w14:paraId="6D869FD7">
      <w:pPr>
        <w:rPr>
          <w:rFonts w:ascii="Arial" w:hAnsi="Arial" w:eastAsia="黑体" w:cs="Arial"/>
          <w:szCs w:val="21"/>
        </w:rPr>
      </w:pPr>
    </w:p>
    <w:sdt>
      <w:sdtPr>
        <w:rPr>
          <w:rFonts w:hint="eastAsia" w:ascii="黑体" w:hAnsi="黑体" w:eastAsia="黑体" w:cs="黑体"/>
          <w:sz w:val="31"/>
          <w:szCs w:val="31"/>
        </w:rPr>
        <w:id w:val="147459708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sz w:val="21"/>
          <w:szCs w:val="24"/>
        </w:rPr>
      </w:sdtEndPr>
      <w:sdtContent>
        <w:p w14:paraId="38C342E5">
          <w:pPr>
            <w:jc w:val="center"/>
            <w:rPr>
              <w:rFonts w:ascii="黑体" w:hAnsi="黑体" w:eastAsia="黑体" w:cs="黑体"/>
              <w:sz w:val="31"/>
              <w:szCs w:val="31"/>
            </w:rPr>
          </w:pPr>
        </w:p>
        <w:p w14:paraId="486838D0">
          <w:pPr>
            <w:jc w:val="center"/>
            <w:rPr>
              <w:rFonts w:ascii="黑体" w:hAnsi="黑体" w:eastAsia="黑体" w:cs="黑体"/>
              <w:sz w:val="31"/>
              <w:szCs w:val="31"/>
            </w:rPr>
          </w:pPr>
        </w:p>
        <w:p w14:paraId="2F744445">
          <w:pPr>
            <w:jc w:val="center"/>
            <w:rPr>
              <w:rFonts w:ascii="黑体" w:hAnsi="黑体" w:eastAsia="黑体" w:cs="黑体"/>
              <w:sz w:val="31"/>
              <w:szCs w:val="31"/>
            </w:rPr>
          </w:pPr>
          <w:r>
            <w:rPr>
              <w:rFonts w:hint="eastAsia" w:ascii="黑体" w:hAnsi="黑体" w:eastAsia="黑体" w:cs="黑体"/>
              <w:sz w:val="31"/>
              <w:szCs w:val="31"/>
            </w:rPr>
            <w:t>目    录</w:t>
          </w:r>
        </w:p>
        <w:p w14:paraId="41E5CC21">
          <w:pPr>
            <w:pStyle w:val="6"/>
            <w:tabs>
              <w:tab w:val="right" w:leader="dot" w:pos="10251"/>
              <w:tab w:val="clear" w:pos="9242"/>
            </w:tabs>
            <w:spacing w:before="78" w:after="78"/>
            <w:ind w:firstLine="630" w:firstLineChars="300"/>
          </w:pPr>
          <w:r>
            <w:rPr>
              <w:rFonts w:asciiTheme="minorHAnsi" w:hAnsiTheme="minorHAnsi" w:eastAsiaTheme="minorEastAsia" w:cstheme="minorBidi"/>
              <w:szCs w:val="24"/>
            </w:rPr>
            <w:fldChar w:fldCharType="begin"/>
          </w:r>
          <w:r>
            <w:rPr>
              <w:rFonts w:asciiTheme="minorHAnsi" w:hAnsiTheme="minorHAnsi" w:eastAsiaTheme="minorEastAsia" w:cstheme="minorBidi"/>
              <w:szCs w:val="24"/>
            </w:rPr>
            <w:instrText xml:space="preserve">TOC \o "1-1" \h \u </w:instrText>
          </w:r>
          <w:r>
            <w:rPr>
              <w:rFonts w:asciiTheme="minorHAnsi" w:hAnsiTheme="minorHAnsi" w:eastAsiaTheme="minorEastAsia" w:cstheme="minorBidi"/>
              <w:szCs w:val="24"/>
            </w:rPr>
            <w:fldChar w:fldCharType="separate"/>
          </w:r>
          <w:r>
            <w:fldChar w:fldCharType="begin"/>
          </w:r>
          <w:r>
            <w:instrText xml:space="preserve"> HYPERLINK \l "_Toc10539"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Cs w:val="31"/>
            </w:rPr>
            <w:t>前    言</w:t>
          </w:r>
          <w:r>
            <w:tab/>
          </w:r>
          <w:r>
            <w:fldChar w:fldCharType="begin"/>
          </w:r>
          <w:r>
            <w:instrText xml:space="preserve"> PAGEREF _Toc10539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0473479">
          <w:pPr>
            <w:pStyle w:val="6"/>
            <w:tabs>
              <w:tab w:val="right" w:leader="dot" w:pos="10251"/>
              <w:tab w:val="clear" w:pos="9242"/>
            </w:tabs>
            <w:spacing w:before="78" w:after="78"/>
            <w:ind w:firstLine="630" w:firstLineChars="300"/>
          </w:pPr>
          <w:r>
            <w:fldChar w:fldCharType="begin"/>
          </w:r>
          <w:r>
            <w:instrText xml:space="preserve"> HYPERLINK \l "_Toc4699" </w:instrText>
          </w:r>
          <w:r>
            <w:fldChar w:fldCharType="separate"/>
          </w:r>
          <w:r>
            <w:rPr>
              <w:rFonts w:hint="eastAsia" w:ascii="黑体" w:eastAsia="黑体"/>
            </w:rPr>
            <w:t xml:space="preserve">1 </w:t>
          </w:r>
          <w:r>
            <w:rPr>
              <w:rFonts w:hint="eastAsia"/>
              <w:szCs w:val="22"/>
            </w:rPr>
            <w:t>范围</w:t>
          </w:r>
          <w:r>
            <w:tab/>
          </w:r>
          <w:r>
            <w:fldChar w:fldCharType="begin"/>
          </w:r>
          <w:r>
            <w:instrText xml:space="preserve"> PAGEREF _Toc4699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9337B0F">
          <w:pPr>
            <w:pStyle w:val="6"/>
            <w:tabs>
              <w:tab w:val="right" w:leader="dot" w:pos="10251"/>
              <w:tab w:val="clear" w:pos="9242"/>
            </w:tabs>
            <w:spacing w:before="78" w:after="78"/>
            <w:ind w:firstLine="630" w:firstLineChars="300"/>
          </w:pPr>
          <w:r>
            <w:fldChar w:fldCharType="begin"/>
          </w:r>
          <w:r>
            <w:instrText xml:space="preserve"> HYPERLINK \l "_Toc18467" </w:instrText>
          </w:r>
          <w:r>
            <w:fldChar w:fldCharType="separate"/>
          </w:r>
          <w:r>
            <w:rPr>
              <w:rFonts w:hint="eastAsia" w:ascii="黑体" w:eastAsia="黑体"/>
            </w:rPr>
            <w:t xml:space="preserve">2 </w:t>
          </w:r>
          <w:r>
            <w:rPr>
              <w:rFonts w:hint="eastAsia"/>
              <w:szCs w:val="22"/>
            </w:rPr>
            <w:t>规范性引用文件</w:t>
          </w:r>
          <w:r>
            <w:tab/>
          </w:r>
          <w:r>
            <w:fldChar w:fldCharType="begin"/>
          </w:r>
          <w:r>
            <w:instrText xml:space="preserve"> PAGEREF _Toc18467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CCA43A1">
          <w:pPr>
            <w:pStyle w:val="6"/>
            <w:tabs>
              <w:tab w:val="right" w:leader="dot" w:pos="10251"/>
              <w:tab w:val="clear" w:pos="9242"/>
            </w:tabs>
            <w:spacing w:before="78" w:after="78"/>
            <w:ind w:firstLine="630" w:firstLineChars="300"/>
          </w:pPr>
          <w:r>
            <w:fldChar w:fldCharType="begin"/>
          </w:r>
          <w:r>
            <w:instrText xml:space="preserve"> HYPERLINK \l "_Toc5620" </w:instrText>
          </w:r>
          <w:r>
            <w:fldChar w:fldCharType="separate"/>
          </w:r>
          <w:r>
            <w:rPr>
              <w:rFonts w:hint="eastAsia" w:ascii="黑体" w:eastAsia="黑体"/>
            </w:rPr>
            <w:t xml:space="preserve">3 </w:t>
          </w:r>
          <w:r>
            <w:rPr>
              <w:rFonts w:hint="eastAsia"/>
              <w:szCs w:val="22"/>
            </w:rPr>
            <w:t>术语和定义</w:t>
          </w:r>
          <w:r>
            <w:tab/>
          </w:r>
          <w:r>
            <w:fldChar w:fldCharType="begin"/>
          </w:r>
          <w:r>
            <w:instrText xml:space="preserve"> PAGEREF _Toc5620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1D0B969">
          <w:pPr>
            <w:pStyle w:val="6"/>
            <w:tabs>
              <w:tab w:val="right" w:leader="dot" w:pos="10251"/>
              <w:tab w:val="clear" w:pos="9242"/>
            </w:tabs>
            <w:spacing w:before="78" w:after="78"/>
            <w:ind w:firstLine="630" w:firstLineChars="300"/>
          </w:pPr>
          <w:r>
            <w:fldChar w:fldCharType="begin"/>
          </w:r>
          <w:r>
            <w:instrText xml:space="preserve"> HYPERLINK \l "_Toc21873" </w:instrText>
          </w:r>
          <w:r>
            <w:fldChar w:fldCharType="separate"/>
          </w:r>
          <w:r>
            <w:rPr>
              <w:rFonts w:hint="eastAsia" w:ascii="黑体" w:eastAsia="黑体"/>
            </w:rPr>
            <w:t xml:space="preserve">4 </w:t>
          </w:r>
          <w:r>
            <w:rPr>
              <w:rFonts w:hint="eastAsia"/>
              <w:szCs w:val="22"/>
            </w:rPr>
            <w:t>总则</w:t>
          </w:r>
          <w:r>
            <w:tab/>
          </w:r>
          <w:r>
            <w:fldChar w:fldCharType="begin"/>
          </w:r>
          <w:r>
            <w:instrText xml:space="preserve"> PAGEREF _Toc21873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2B4B06F">
          <w:pPr>
            <w:pStyle w:val="6"/>
            <w:tabs>
              <w:tab w:val="right" w:leader="dot" w:pos="10251"/>
              <w:tab w:val="clear" w:pos="9242"/>
            </w:tabs>
            <w:spacing w:before="78" w:after="78"/>
            <w:ind w:firstLine="630" w:firstLineChars="300"/>
          </w:pPr>
          <w:r>
            <w:fldChar w:fldCharType="begin"/>
          </w:r>
          <w:r>
            <w:instrText xml:space="preserve"> HYPERLINK \l "_Toc30939" </w:instrText>
          </w:r>
          <w:r>
            <w:fldChar w:fldCharType="separate"/>
          </w:r>
          <w:r>
            <w:rPr>
              <w:rFonts w:hint="eastAsia" w:ascii="黑体" w:eastAsia="黑体"/>
            </w:rPr>
            <w:t xml:space="preserve">5 </w:t>
          </w:r>
          <w:r>
            <w:rPr>
              <w:rFonts w:hint="eastAsia"/>
            </w:rPr>
            <w:t>采购贮存</w:t>
          </w:r>
          <w:r>
            <w:tab/>
          </w:r>
          <w:r>
            <w:fldChar w:fldCharType="begin"/>
          </w:r>
          <w:r>
            <w:instrText xml:space="preserve"> PAGEREF _Toc30939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8DEF59A">
          <w:pPr>
            <w:pStyle w:val="6"/>
            <w:tabs>
              <w:tab w:val="right" w:leader="dot" w:pos="10251"/>
              <w:tab w:val="clear" w:pos="9242"/>
            </w:tabs>
            <w:spacing w:before="78" w:after="78"/>
            <w:ind w:firstLine="630" w:firstLineChars="300"/>
          </w:pPr>
          <w:r>
            <w:fldChar w:fldCharType="begin"/>
          </w:r>
          <w:r>
            <w:instrText xml:space="preserve"> HYPERLINK \l "_Toc4840" </w:instrText>
          </w:r>
          <w:r>
            <w:fldChar w:fldCharType="separate"/>
          </w:r>
          <w:r>
            <w:rPr>
              <w:rFonts w:hint="eastAsia" w:ascii="黑体" w:eastAsia="黑体"/>
            </w:rPr>
            <w:t xml:space="preserve">6 </w:t>
          </w:r>
          <w:r>
            <w:rPr>
              <w:rFonts w:hint="eastAsia"/>
            </w:rPr>
            <w:t>加工制作</w:t>
          </w:r>
          <w:r>
            <w:tab/>
          </w:r>
          <w:r>
            <w:fldChar w:fldCharType="begin"/>
          </w:r>
          <w:r>
            <w:instrText xml:space="preserve"> PAGEREF _Toc4840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B384831">
          <w:pPr>
            <w:pStyle w:val="6"/>
            <w:tabs>
              <w:tab w:val="right" w:leader="dot" w:pos="10251"/>
              <w:tab w:val="clear" w:pos="9242"/>
            </w:tabs>
            <w:spacing w:before="78" w:after="78"/>
            <w:ind w:firstLine="630" w:firstLineChars="300"/>
          </w:pPr>
          <w:r>
            <w:fldChar w:fldCharType="begin"/>
          </w:r>
          <w:r>
            <w:instrText xml:space="preserve"> HYPERLINK \l "_Toc31250" </w:instrText>
          </w:r>
          <w:r>
            <w:fldChar w:fldCharType="separate"/>
          </w:r>
          <w:r>
            <w:rPr>
              <w:rFonts w:hint="eastAsia" w:ascii="黑体" w:eastAsia="黑体"/>
            </w:rPr>
            <w:t xml:space="preserve">7 </w:t>
          </w:r>
          <w:r>
            <w:rPr>
              <w:rFonts w:hint="eastAsia"/>
            </w:rPr>
            <w:t>消费服务</w:t>
          </w:r>
          <w:r>
            <w:tab/>
          </w:r>
          <w:r>
            <w:fldChar w:fldCharType="begin"/>
          </w:r>
          <w:r>
            <w:instrText xml:space="preserve"> PAGEREF _Toc31250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B73B66F">
          <w:pPr>
            <w:pStyle w:val="6"/>
            <w:tabs>
              <w:tab w:val="right" w:leader="dot" w:pos="10251"/>
              <w:tab w:val="clear" w:pos="9242"/>
            </w:tabs>
            <w:spacing w:before="78" w:after="78"/>
            <w:ind w:firstLine="630" w:firstLineChars="300"/>
          </w:pPr>
          <w:r>
            <w:fldChar w:fldCharType="begin"/>
          </w:r>
          <w:r>
            <w:instrText xml:space="preserve"> HYPERLINK \l "_Toc7701" </w:instrText>
          </w:r>
          <w:r>
            <w:fldChar w:fldCharType="separate"/>
          </w:r>
          <w:r>
            <w:rPr>
              <w:rFonts w:hint="eastAsia" w:ascii="黑体" w:eastAsia="黑体"/>
            </w:rPr>
            <w:t xml:space="preserve">8 </w:t>
          </w:r>
          <w:r>
            <w:rPr>
              <w:rFonts w:hint="eastAsia"/>
            </w:rPr>
            <w:t>设施设备</w:t>
          </w:r>
          <w:r>
            <w:tab/>
          </w:r>
          <w:r>
            <w:fldChar w:fldCharType="begin"/>
          </w:r>
          <w:r>
            <w:instrText xml:space="preserve"> PAGEREF _Toc7701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31048954">
          <w:pPr>
            <w:pStyle w:val="6"/>
            <w:tabs>
              <w:tab w:val="right" w:leader="dot" w:pos="10251"/>
              <w:tab w:val="clear" w:pos="9242"/>
            </w:tabs>
            <w:spacing w:before="78" w:after="78"/>
            <w:ind w:firstLine="630" w:firstLineChars="300"/>
          </w:pPr>
          <w:r>
            <w:fldChar w:fldCharType="begin"/>
          </w:r>
          <w:r>
            <w:instrText xml:space="preserve"> HYPERLINK \l "_Toc31033" </w:instrText>
          </w:r>
          <w:r>
            <w:fldChar w:fldCharType="separate"/>
          </w:r>
          <w:r>
            <w:rPr>
              <w:rFonts w:hint="eastAsia" w:ascii="黑体" w:eastAsia="黑体"/>
            </w:rPr>
            <w:t xml:space="preserve">9 </w:t>
          </w:r>
          <w:r>
            <w:rPr>
              <w:rFonts w:hint="eastAsia"/>
            </w:rPr>
            <w:t>人员</w:t>
          </w:r>
          <w:r>
            <w:tab/>
          </w:r>
          <w:r>
            <w:fldChar w:fldCharType="begin"/>
          </w:r>
          <w:r>
            <w:instrText xml:space="preserve"> PAGEREF _Toc31033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EBF6EB6">
          <w:r>
            <w:fldChar w:fldCharType="end"/>
          </w:r>
        </w:p>
      </w:sdtContent>
    </w:sdt>
    <w:p w14:paraId="7E3DCA59"/>
    <w:p w14:paraId="1A7D3D4D">
      <w:pPr>
        <w:pStyle w:val="9"/>
        <w:ind w:firstLine="840" w:firstLineChars="400"/>
        <w:rPr>
          <w:rFonts w:eastAsia="宋体"/>
        </w:rPr>
      </w:pPr>
    </w:p>
    <w:p w14:paraId="75E84508">
      <w:pPr>
        <w:pStyle w:val="9"/>
        <w:ind w:firstLine="840" w:firstLineChars="400"/>
        <w:rPr>
          <w:rFonts w:eastAsia="宋体"/>
        </w:rPr>
      </w:pPr>
    </w:p>
    <w:p w14:paraId="52F8D050">
      <w:pPr>
        <w:pStyle w:val="9"/>
        <w:ind w:firstLine="840" w:firstLineChars="400"/>
        <w:rPr>
          <w:rFonts w:eastAsia="宋体"/>
        </w:rPr>
      </w:pPr>
    </w:p>
    <w:p w14:paraId="51A5E8CE">
      <w:pPr>
        <w:pStyle w:val="9"/>
        <w:ind w:firstLine="840" w:firstLineChars="400"/>
        <w:rPr>
          <w:rFonts w:eastAsia="宋体"/>
        </w:rPr>
      </w:pPr>
    </w:p>
    <w:p w14:paraId="022812A4">
      <w:pPr>
        <w:pStyle w:val="9"/>
        <w:ind w:firstLine="840" w:firstLineChars="400"/>
        <w:rPr>
          <w:rFonts w:eastAsia="宋体"/>
        </w:rPr>
      </w:pPr>
    </w:p>
    <w:p w14:paraId="7053F79E">
      <w:pPr>
        <w:pStyle w:val="9"/>
        <w:ind w:firstLine="840" w:firstLineChars="400"/>
        <w:rPr>
          <w:rFonts w:eastAsia="宋体"/>
        </w:rPr>
      </w:pPr>
    </w:p>
    <w:p w14:paraId="104F5B7F">
      <w:pPr>
        <w:pStyle w:val="9"/>
        <w:ind w:firstLine="840" w:firstLineChars="400"/>
        <w:rPr>
          <w:rFonts w:eastAsia="宋体"/>
        </w:rPr>
      </w:pPr>
    </w:p>
    <w:p w14:paraId="3B126E76">
      <w:pPr>
        <w:pStyle w:val="9"/>
        <w:ind w:firstLine="840" w:firstLineChars="400"/>
        <w:rPr>
          <w:rFonts w:eastAsia="宋体"/>
        </w:rPr>
      </w:pPr>
    </w:p>
    <w:p w14:paraId="72182518">
      <w:pPr>
        <w:pStyle w:val="9"/>
        <w:ind w:firstLine="840" w:firstLineChars="400"/>
        <w:rPr>
          <w:rFonts w:eastAsia="宋体"/>
        </w:rPr>
      </w:pPr>
    </w:p>
    <w:p w14:paraId="206CC638">
      <w:pPr>
        <w:pStyle w:val="9"/>
        <w:ind w:firstLine="840" w:firstLineChars="400"/>
        <w:rPr>
          <w:rFonts w:eastAsia="宋体"/>
        </w:rPr>
      </w:pPr>
    </w:p>
    <w:p w14:paraId="57B622F2">
      <w:pPr>
        <w:pStyle w:val="9"/>
        <w:ind w:firstLine="840" w:firstLineChars="400"/>
        <w:rPr>
          <w:rFonts w:eastAsia="宋体"/>
        </w:rPr>
      </w:pPr>
    </w:p>
    <w:p w14:paraId="408FCEAD">
      <w:pPr>
        <w:pStyle w:val="9"/>
        <w:ind w:firstLine="840" w:firstLineChars="400"/>
        <w:rPr>
          <w:rFonts w:eastAsia="宋体"/>
        </w:rPr>
      </w:pPr>
    </w:p>
    <w:p w14:paraId="7F2B6B17">
      <w:pPr>
        <w:pStyle w:val="9"/>
        <w:ind w:firstLine="840" w:firstLineChars="400"/>
        <w:rPr>
          <w:rFonts w:eastAsia="宋体"/>
        </w:rPr>
      </w:pPr>
    </w:p>
    <w:p w14:paraId="612EC1AB">
      <w:pPr>
        <w:pStyle w:val="9"/>
        <w:ind w:firstLine="840" w:firstLineChars="400"/>
        <w:rPr>
          <w:rFonts w:eastAsia="宋体"/>
        </w:rPr>
      </w:pPr>
    </w:p>
    <w:p w14:paraId="38FB62EA">
      <w:pPr>
        <w:pStyle w:val="9"/>
        <w:ind w:firstLine="840" w:firstLineChars="400"/>
        <w:rPr>
          <w:rFonts w:eastAsia="宋体"/>
        </w:rPr>
      </w:pPr>
    </w:p>
    <w:p w14:paraId="615E42D3">
      <w:pPr>
        <w:pStyle w:val="9"/>
        <w:ind w:firstLine="840" w:firstLineChars="400"/>
        <w:rPr>
          <w:rFonts w:eastAsia="宋体"/>
        </w:rPr>
      </w:pPr>
    </w:p>
    <w:p w14:paraId="0282C745">
      <w:pPr>
        <w:pStyle w:val="9"/>
        <w:ind w:firstLine="840" w:firstLineChars="400"/>
        <w:rPr>
          <w:rFonts w:eastAsia="宋体"/>
        </w:rPr>
      </w:pPr>
    </w:p>
    <w:p w14:paraId="4A9B4F1A">
      <w:pPr>
        <w:pStyle w:val="9"/>
        <w:ind w:firstLine="840" w:firstLineChars="400"/>
        <w:rPr>
          <w:rFonts w:eastAsia="宋体"/>
        </w:rPr>
      </w:pPr>
    </w:p>
    <w:p w14:paraId="3EF5C8EC">
      <w:pPr>
        <w:pStyle w:val="9"/>
        <w:ind w:firstLine="840" w:firstLineChars="400"/>
        <w:rPr>
          <w:rFonts w:eastAsia="宋体"/>
        </w:rPr>
      </w:pPr>
    </w:p>
    <w:p w14:paraId="6468C0A7">
      <w:pPr>
        <w:pStyle w:val="9"/>
        <w:ind w:firstLine="840" w:firstLineChars="400"/>
        <w:rPr>
          <w:rFonts w:eastAsia="宋体"/>
        </w:rPr>
      </w:pPr>
    </w:p>
    <w:p w14:paraId="273E92F0">
      <w:pPr>
        <w:pStyle w:val="2"/>
        <w:rPr>
          <w:rFonts w:ascii="Arial" w:hAnsi="Arial" w:eastAsia="黑体" w:cs="Arial"/>
          <w:b w:val="0"/>
          <w:bCs/>
          <w:sz w:val="21"/>
          <w:szCs w:val="21"/>
        </w:rPr>
      </w:pPr>
      <w:bookmarkStart w:id="0" w:name="_Toc10539"/>
    </w:p>
    <w:p w14:paraId="2C782A57">
      <w:pPr>
        <w:rPr>
          <w:rFonts w:ascii="Arial" w:hAnsi="Arial" w:eastAsia="黑体" w:cs="Arial"/>
          <w:bCs/>
          <w:szCs w:val="21"/>
        </w:rPr>
      </w:pPr>
    </w:p>
    <w:p w14:paraId="02A21573">
      <w:pPr>
        <w:rPr>
          <w:rFonts w:ascii="Arial" w:hAnsi="Arial" w:eastAsia="黑体" w:cs="Arial"/>
          <w:bCs/>
          <w:szCs w:val="21"/>
        </w:rPr>
      </w:pPr>
    </w:p>
    <w:p w14:paraId="7490729C">
      <w:pPr>
        <w:rPr>
          <w:rFonts w:ascii="Arial" w:hAnsi="Arial" w:eastAsia="黑体" w:cs="Arial"/>
          <w:bCs/>
          <w:szCs w:val="21"/>
        </w:rPr>
      </w:pPr>
    </w:p>
    <w:p w14:paraId="6371DFAD">
      <w:pPr>
        <w:rPr>
          <w:rFonts w:ascii="Arial" w:hAnsi="Arial" w:eastAsia="黑体" w:cs="Arial"/>
          <w:bCs/>
          <w:szCs w:val="21"/>
        </w:rPr>
      </w:pPr>
    </w:p>
    <w:p w14:paraId="4A0D4C85">
      <w:pPr>
        <w:rPr>
          <w:rFonts w:ascii="Arial" w:hAnsi="Arial" w:eastAsia="黑体" w:cs="Arial"/>
          <w:bCs/>
          <w:szCs w:val="21"/>
        </w:rPr>
      </w:pPr>
    </w:p>
    <w:p w14:paraId="138D07E3">
      <w:pPr>
        <w:rPr>
          <w:rFonts w:ascii="Arial" w:hAnsi="Arial" w:eastAsia="黑体" w:cs="Arial"/>
          <w:bCs/>
          <w:szCs w:val="21"/>
        </w:rPr>
      </w:pPr>
    </w:p>
    <w:p w14:paraId="130D85D1">
      <w:pPr>
        <w:rPr>
          <w:rFonts w:ascii="Arial" w:hAnsi="Arial" w:eastAsia="黑体" w:cs="Arial"/>
          <w:bCs/>
          <w:szCs w:val="21"/>
        </w:rPr>
      </w:pPr>
    </w:p>
    <w:p w14:paraId="7AC3AB98">
      <w:pPr>
        <w:pStyle w:val="2"/>
        <w:jc w:val="center"/>
        <w:rPr>
          <w:rFonts w:hint="eastAsia" w:ascii="黑体" w:hAnsi="黑体" w:eastAsia="黑体" w:cs="黑体"/>
          <w:b w:val="0"/>
          <w:bCs/>
          <w:spacing w:val="-2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1"/>
          <w:szCs w:val="31"/>
        </w:rPr>
        <w:t xml:space="preserve">     前    言</w:t>
      </w:r>
      <w:bookmarkEnd w:id="0"/>
    </w:p>
    <w:p w14:paraId="64636C65">
      <w:pPr>
        <w:pStyle w:val="9"/>
        <w:ind w:left="1050" w:leftChars="500"/>
        <w:rPr>
          <w:rFonts w:eastAsia="宋体"/>
        </w:rPr>
      </w:pPr>
      <w:r>
        <w:rPr>
          <w:rFonts w:hint="eastAsia" w:eastAsia="宋体"/>
        </w:rPr>
        <w:t>本文件按照GB/T 1.1-2020《标准化工作导则 第1部分：标准化文件的结构和起草规则》的规定起草。</w:t>
      </w:r>
    </w:p>
    <w:p w14:paraId="6FBFFCFA">
      <w:pPr>
        <w:pStyle w:val="9"/>
        <w:ind w:firstLine="1470" w:firstLineChars="700"/>
        <w:rPr>
          <w:rFonts w:hint="eastAsia" w:eastAsia="宋体"/>
          <w:lang w:eastAsia="zh-CN"/>
        </w:rPr>
      </w:pPr>
      <w:r>
        <w:rPr>
          <w:rFonts w:hint="eastAsia" w:eastAsia="宋体"/>
        </w:rPr>
        <w:t>本文件由辽宁省食品安全协会提出。</w:t>
      </w:r>
    </w:p>
    <w:p w14:paraId="2D9CABC6">
      <w:pPr>
        <w:pStyle w:val="9"/>
        <w:ind w:firstLine="1470" w:firstLineChars="700"/>
        <w:rPr>
          <w:rFonts w:hint="default" w:eastAsia="宋体"/>
          <w:lang w:val="en-US" w:eastAsia="zh-CN"/>
        </w:rPr>
      </w:pPr>
      <w:r>
        <w:rPr>
          <w:rFonts w:hint="eastAsia" w:eastAsia="宋体"/>
        </w:rPr>
        <w:t>本文件主要起草人：</w:t>
      </w:r>
      <w:r>
        <w:rPr>
          <w:rFonts w:hint="eastAsia" w:eastAsia="宋体"/>
          <w:lang w:eastAsia="zh-CN"/>
        </w:rPr>
        <w:t>刘洪旺、王欣、陈晓伟、赵香华、陈逸雯、王菲</w:t>
      </w:r>
      <w:bookmarkStart w:id="34" w:name="_GoBack"/>
      <w:bookmarkEnd w:id="34"/>
    </w:p>
    <w:p w14:paraId="167CB402">
      <w:pPr>
        <w:pStyle w:val="9"/>
        <w:ind w:left="1050" w:leftChars="500"/>
        <w:rPr>
          <w:rFonts w:eastAsia="宋体"/>
        </w:rPr>
      </w:pPr>
      <w:r>
        <w:rPr>
          <w:rFonts w:hint="eastAsia" w:eastAsia="宋体"/>
        </w:rPr>
        <w:t>本文件起草单位：辽宁省食品安全协会火锅</w:t>
      </w:r>
      <w:r>
        <w:rPr>
          <w:rFonts w:hint="eastAsia" w:eastAsia="宋体"/>
          <w:lang w:eastAsia="zh-CN"/>
        </w:rPr>
        <w:t>烧烤</w:t>
      </w:r>
      <w:r>
        <w:rPr>
          <w:rFonts w:hint="eastAsia" w:eastAsia="宋体"/>
        </w:rPr>
        <w:t>专委会、辽宁省饭店餐饮协会火锅专委会、辽宁省餐饮烹饪行业协会火锅专委会</w:t>
      </w:r>
      <w:r>
        <w:rPr>
          <w:rFonts w:hint="eastAsia" w:eastAsia="宋体"/>
          <w:lang w:eastAsia="zh-CN"/>
        </w:rPr>
        <w:t>、</w:t>
      </w:r>
      <w:r>
        <w:rPr>
          <w:rFonts w:hint="eastAsia"/>
        </w:rPr>
        <w:t xml:space="preserve"> </w:t>
      </w:r>
      <w:r>
        <w:rPr>
          <w:rFonts w:hint="eastAsia" w:eastAsia="宋体"/>
        </w:rPr>
        <w:t>沈阳鑫钰隆供应链有限公司</w:t>
      </w:r>
    </w:p>
    <w:p w14:paraId="0F6FA8C1">
      <w:pPr>
        <w:pStyle w:val="9"/>
        <w:ind w:firstLine="840" w:firstLineChars="400"/>
        <w:rPr>
          <w:rFonts w:eastAsia="宋体"/>
        </w:rPr>
      </w:pPr>
    </w:p>
    <w:p w14:paraId="1AAA691E">
      <w:pPr>
        <w:pStyle w:val="9"/>
        <w:ind w:firstLine="0" w:firstLineChars="0"/>
      </w:pPr>
    </w:p>
    <w:p w14:paraId="1C8B4521">
      <w:pPr>
        <w:pStyle w:val="9"/>
        <w:sectPr>
          <w:footerReference r:id="rId4" w:type="default"/>
          <w:pgSz w:w="11906" w:h="16838"/>
          <w:pgMar w:top="403" w:right="1752" w:bottom="1349" w:left="1026" w:header="170" w:footer="1134" w:gutter="0"/>
          <w:pgNumType w:start="1"/>
          <w:cols w:space="720" w:num="1"/>
          <w:formProt w:val="0"/>
          <w:docGrid w:type="lines" w:linePitch="312" w:charSpace="0"/>
        </w:sectPr>
      </w:pPr>
    </w:p>
    <w:p w14:paraId="563D3062">
      <w:pPr>
        <w:jc w:val="center"/>
        <w:rPr>
          <w:rFonts w:ascii="黑体" w:hAnsi="黑体" w:eastAsia="黑体" w:cs="黑体"/>
          <w:sz w:val="31"/>
          <w:szCs w:val="31"/>
        </w:rPr>
      </w:pPr>
      <w:bookmarkStart w:id="1" w:name="_Toc24516"/>
      <w:bookmarkStart w:id="2" w:name="_Toc29067"/>
    </w:p>
    <w:p w14:paraId="5ECBB197">
      <w:pPr>
        <w:jc w:val="center"/>
        <w:rPr>
          <w:rFonts w:ascii="黑体" w:hAnsi="黑体" w:eastAsia="黑体" w:cs="黑体"/>
          <w:sz w:val="31"/>
          <w:szCs w:val="31"/>
        </w:rPr>
      </w:pPr>
    </w:p>
    <w:p w14:paraId="767215D8">
      <w:pPr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z w:val="31"/>
          <w:szCs w:val="31"/>
        </w:rPr>
        <w:t xml:space="preserve">      火锅</w:t>
      </w:r>
      <w:r>
        <w:rPr>
          <w:rFonts w:hint="eastAsia" w:ascii="黑体" w:hAnsi="黑体" w:eastAsia="黑体" w:cs="黑体"/>
          <w:sz w:val="31"/>
          <w:szCs w:val="31"/>
          <w:lang w:eastAsia="zh-CN"/>
        </w:rPr>
        <w:t>餐饮</w:t>
      </w:r>
      <w:r>
        <w:rPr>
          <w:rFonts w:hint="eastAsia" w:ascii="黑体" w:hAnsi="黑体" w:eastAsia="黑体" w:cs="黑体"/>
          <w:sz w:val="31"/>
          <w:szCs w:val="31"/>
        </w:rPr>
        <w:t>经营管理规范</w:t>
      </w:r>
    </w:p>
    <w:p w14:paraId="4971A041"/>
    <w:p w14:paraId="599A03E5">
      <w:pPr>
        <w:pStyle w:val="10"/>
        <w:numPr>
          <w:ilvl w:val="0"/>
          <w:numId w:val="0"/>
        </w:numPr>
        <w:spacing w:before="312" w:after="312"/>
        <w:ind w:firstLine="840" w:firstLineChars="400"/>
        <w:outlineLvl w:val="0"/>
        <w:rPr>
          <w:szCs w:val="22"/>
        </w:rPr>
      </w:pPr>
      <w:bookmarkStart w:id="3" w:name="_Toc5430"/>
      <w:bookmarkStart w:id="4" w:name="_Toc4699"/>
      <w:r>
        <w:rPr>
          <w:rFonts w:hint="eastAsia"/>
          <w:szCs w:val="22"/>
        </w:rPr>
        <w:t>1  范围</w:t>
      </w:r>
      <w:bookmarkEnd w:id="1"/>
      <w:bookmarkEnd w:id="2"/>
      <w:bookmarkEnd w:id="3"/>
      <w:bookmarkEnd w:id="4"/>
    </w:p>
    <w:p w14:paraId="0605A7D7">
      <w:pPr>
        <w:pStyle w:val="9"/>
        <w:ind w:left="840" w:leftChars="400"/>
      </w:pPr>
      <w:r>
        <w:rPr>
          <w:rFonts w:hint="eastAsia"/>
        </w:rPr>
        <w:t>本文件规定了火锅</w:t>
      </w:r>
      <w:r>
        <w:rPr>
          <w:rFonts w:hint="eastAsia"/>
          <w:lang w:eastAsia="zh-CN"/>
        </w:rPr>
        <w:t>餐饮</w:t>
      </w:r>
      <w:r>
        <w:rPr>
          <w:rFonts w:hint="eastAsia"/>
        </w:rPr>
        <w:t>经营与管理的术语和定义、总则、采购保藏、加工制作、消费服务、设施设备、人员等方面的要求。</w:t>
      </w:r>
    </w:p>
    <w:p w14:paraId="20E5AAA9">
      <w:pPr>
        <w:pStyle w:val="9"/>
        <w:ind w:firstLine="1260" w:firstLineChars="600"/>
      </w:pPr>
      <w:r>
        <w:rPr>
          <w:rFonts w:hint="eastAsia"/>
        </w:rPr>
        <w:t>本文件适用于火锅</w:t>
      </w:r>
      <w:r>
        <w:rPr>
          <w:rFonts w:hint="eastAsia"/>
          <w:lang w:eastAsia="zh-CN"/>
        </w:rPr>
        <w:t>餐饮</w:t>
      </w:r>
      <w:r>
        <w:rPr>
          <w:rFonts w:hint="eastAsia"/>
        </w:rPr>
        <w:t>企业经营与管理的指导。</w:t>
      </w:r>
    </w:p>
    <w:p w14:paraId="2CD64266">
      <w:pPr>
        <w:pStyle w:val="9"/>
      </w:pPr>
    </w:p>
    <w:p w14:paraId="2C2548E5">
      <w:pPr>
        <w:pStyle w:val="10"/>
        <w:numPr>
          <w:ilvl w:val="0"/>
          <w:numId w:val="0"/>
        </w:numPr>
        <w:spacing w:before="312" w:after="312"/>
        <w:ind w:firstLine="840" w:firstLineChars="400"/>
        <w:outlineLvl w:val="0"/>
        <w:rPr>
          <w:szCs w:val="22"/>
        </w:rPr>
      </w:pPr>
      <w:bookmarkStart w:id="5" w:name="_Toc25307"/>
      <w:bookmarkStart w:id="6" w:name="_Toc2392"/>
      <w:bookmarkStart w:id="7" w:name="_Toc18467"/>
      <w:bookmarkStart w:id="8" w:name="_Toc10585"/>
      <w:r>
        <w:rPr>
          <w:rFonts w:hint="eastAsia"/>
          <w:szCs w:val="22"/>
        </w:rPr>
        <w:t>2  规范性引用文件</w:t>
      </w:r>
      <w:bookmarkEnd w:id="5"/>
      <w:bookmarkEnd w:id="6"/>
      <w:bookmarkEnd w:id="7"/>
      <w:bookmarkEnd w:id="8"/>
    </w:p>
    <w:p w14:paraId="544B9C31">
      <w:pPr>
        <w:pStyle w:val="9"/>
        <w:spacing w:beforeLines="10" w:afterLines="10"/>
        <w:ind w:firstLine="1260" w:firstLineChars="600"/>
        <w:rPr>
          <w:rFonts w:hAnsi="宋体" w:eastAsia="宋体" w:cs="宋体"/>
        </w:rPr>
      </w:pPr>
      <w:r>
        <w:rPr>
          <w:rFonts w:hint="eastAsia" w:hAnsi="宋体" w:eastAsia="宋体" w:cs="宋体"/>
        </w:rPr>
        <w:t>GB 2760  食品安全国家标准 食品添加剂使用标准</w:t>
      </w:r>
    </w:p>
    <w:p w14:paraId="7487D98C">
      <w:pPr>
        <w:pStyle w:val="9"/>
        <w:spacing w:beforeLines="10" w:afterLines="10"/>
        <w:ind w:firstLine="1260" w:firstLineChars="600"/>
        <w:rPr>
          <w:rFonts w:hAnsi="宋体" w:eastAsia="宋体" w:cs="宋体"/>
        </w:rPr>
      </w:pPr>
      <w:r>
        <w:rPr>
          <w:rFonts w:hint="eastAsia" w:hAnsi="宋体" w:eastAsia="宋体" w:cs="宋体"/>
        </w:rPr>
        <w:t>GB 14934 食品安全国家标准 消毒餐(饮)具</w:t>
      </w:r>
    </w:p>
    <w:p w14:paraId="5FB8590E">
      <w:pPr>
        <w:pStyle w:val="9"/>
        <w:spacing w:beforeLines="10" w:afterLines="10"/>
        <w:ind w:firstLine="1260" w:firstLineChars="600"/>
        <w:rPr>
          <w:rFonts w:hAnsi="宋体" w:eastAsia="宋体" w:cs="宋体"/>
        </w:rPr>
      </w:pPr>
      <w:r>
        <w:rPr>
          <w:rFonts w:hint="eastAsia" w:hAnsi="宋体" w:eastAsia="宋体" w:cs="宋体"/>
        </w:rPr>
        <w:t>GB 14881 食品安全国家标准 食品生产通用卫生规范</w:t>
      </w:r>
    </w:p>
    <w:p w14:paraId="5C180DB3">
      <w:pPr>
        <w:pStyle w:val="9"/>
        <w:spacing w:beforeLines="10" w:afterLines="10"/>
        <w:ind w:firstLine="1260" w:firstLineChars="600"/>
        <w:rPr>
          <w:rFonts w:hAnsi="宋体" w:eastAsia="宋体" w:cs="宋体"/>
        </w:rPr>
      </w:pPr>
      <w:r>
        <w:rPr>
          <w:rFonts w:hint="eastAsia" w:hAnsi="宋体" w:eastAsia="宋体" w:cs="宋体"/>
        </w:rPr>
        <w:t>GB/T 27306 食品安全管理体系餐饮业要求</w:t>
      </w:r>
    </w:p>
    <w:p w14:paraId="139714C6">
      <w:pPr>
        <w:pStyle w:val="9"/>
        <w:spacing w:beforeLines="10" w:afterLines="10"/>
        <w:ind w:firstLine="1260" w:firstLineChars="600"/>
        <w:rPr>
          <w:rFonts w:hAnsi="宋体" w:eastAsia="宋体" w:cs="宋体"/>
        </w:rPr>
      </w:pPr>
      <w:r>
        <w:rPr>
          <w:rFonts w:hint="eastAsia" w:hAnsi="宋体" w:eastAsia="宋体" w:cs="宋体"/>
        </w:rPr>
        <w:t>GB 31654 食品安全国家标准 餐饮服务通用卫生规范</w:t>
      </w:r>
    </w:p>
    <w:p w14:paraId="576EBEC2">
      <w:pPr>
        <w:pStyle w:val="9"/>
        <w:spacing w:beforeLines="10" w:afterLines="10"/>
        <w:ind w:firstLine="1260" w:firstLineChars="600"/>
        <w:rPr>
          <w:rFonts w:hAnsi="宋体" w:eastAsia="宋体" w:cs="宋体"/>
        </w:rPr>
      </w:pPr>
      <w:r>
        <w:rPr>
          <w:rFonts w:hint="eastAsia" w:hAnsi="宋体" w:eastAsia="宋体" w:cs="宋体"/>
        </w:rPr>
        <w:t>DB21/T 3544-2021  辽宁省餐饮服务量化分级评定规范</w:t>
      </w:r>
    </w:p>
    <w:p w14:paraId="3D934DFE">
      <w:pPr>
        <w:pStyle w:val="9"/>
        <w:spacing w:beforeLines="10" w:afterLines="10"/>
        <w:ind w:firstLine="1260" w:firstLineChars="600"/>
        <w:rPr>
          <w:rFonts w:hAnsi="宋体" w:eastAsia="宋体" w:cs="宋体"/>
        </w:rPr>
      </w:pPr>
      <w:r>
        <w:rPr>
          <w:rFonts w:hint="eastAsia" w:hAnsi="宋体" w:eastAsia="宋体" w:cs="宋体"/>
        </w:rPr>
        <w:t>SB/T10426 餐饮企业经营规范</w:t>
      </w:r>
    </w:p>
    <w:p w14:paraId="7F413084">
      <w:pPr>
        <w:pStyle w:val="9"/>
        <w:spacing w:beforeLines="10" w:afterLines="10"/>
        <w:ind w:firstLine="1260" w:firstLineChars="600"/>
        <w:rPr>
          <w:rFonts w:hAnsi="宋体" w:eastAsia="宋体" w:cs="宋体"/>
        </w:rPr>
      </w:pPr>
      <w:r>
        <w:rPr>
          <w:rFonts w:hint="eastAsia" w:hAnsi="宋体" w:eastAsia="宋体" w:cs="宋体"/>
        </w:rPr>
        <w:t>SB/T 10531 火锅企业经营服务规范</w:t>
      </w:r>
    </w:p>
    <w:p w14:paraId="5C30A156">
      <w:pPr>
        <w:pStyle w:val="9"/>
        <w:spacing w:beforeLines="10" w:afterLines="10"/>
        <w:ind w:firstLine="1260" w:firstLineChars="600"/>
        <w:rPr>
          <w:rFonts w:hAnsi="宋体" w:eastAsia="宋体" w:cs="宋体"/>
        </w:rPr>
      </w:pPr>
      <w:r>
        <w:rPr>
          <w:rFonts w:hint="eastAsia" w:hAnsi="宋体" w:eastAsia="宋体" w:cs="宋体"/>
        </w:rPr>
        <w:t>SB/T 11166 餐饮服务单位节约管理规范</w:t>
      </w:r>
    </w:p>
    <w:p w14:paraId="6DA7CB56">
      <w:pPr>
        <w:pStyle w:val="9"/>
        <w:spacing w:beforeLines="10" w:afterLines="10"/>
        <w:ind w:firstLine="1050" w:firstLineChars="500"/>
        <w:rPr>
          <w:rFonts w:hAnsi="宋体" w:eastAsia="宋体" w:cs="宋体"/>
        </w:rPr>
      </w:pPr>
      <w:r>
        <w:rPr>
          <w:rFonts w:hint="eastAsia" w:hAnsi="宋体" w:eastAsia="宋体" w:cs="宋体"/>
        </w:rPr>
        <w:t>《餐饮服务食品安全操作规范》（国家市场监督管理总局公告 2018 年第 12 号）</w:t>
      </w:r>
    </w:p>
    <w:p w14:paraId="7BBFB0D9">
      <w:pPr>
        <w:pStyle w:val="9"/>
        <w:spacing w:beforeLines="10" w:afterLines="10"/>
        <w:rPr>
          <w:rFonts w:hAnsi="宋体" w:eastAsia="宋体" w:cs="宋体"/>
        </w:rPr>
      </w:pPr>
    </w:p>
    <w:p w14:paraId="7E8ECB49">
      <w:pPr>
        <w:pStyle w:val="10"/>
        <w:numPr>
          <w:ilvl w:val="0"/>
          <w:numId w:val="0"/>
        </w:numPr>
        <w:spacing w:before="312" w:after="312"/>
        <w:ind w:firstLine="840" w:firstLineChars="400"/>
        <w:outlineLvl w:val="0"/>
      </w:pPr>
      <w:bookmarkStart w:id="9" w:name="_Toc912"/>
      <w:bookmarkEnd w:id="9"/>
      <w:bookmarkStart w:id="10" w:name="_Toc28748"/>
      <w:bookmarkStart w:id="11" w:name="_Toc5620"/>
      <w:bookmarkStart w:id="12" w:name="_Toc29412"/>
      <w:r>
        <w:rPr>
          <w:rFonts w:hint="eastAsia"/>
          <w:szCs w:val="22"/>
        </w:rPr>
        <w:t>3  术语和定义</w:t>
      </w:r>
      <w:bookmarkEnd w:id="10"/>
      <w:bookmarkEnd w:id="11"/>
      <w:bookmarkEnd w:id="12"/>
      <w:bookmarkStart w:id="13" w:name="_Toc11465"/>
      <w:bookmarkEnd w:id="13"/>
    </w:p>
    <w:p w14:paraId="78207B32">
      <w:pPr>
        <w:ind w:firstLine="1260" w:firstLineChars="600"/>
      </w:pPr>
      <w:r>
        <w:rPr>
          <w:rFonts w:hint="eastAsia"/>
        </w:rPr>
        <w:t>下列术语和定义适用于本文件。</w:t>
      </w:r>
    </w:p>
    <w:p w14:paraId="3DFA77B9"/>
    <w:p w14:paraId="1F41246F">
      <w:pPr>
        <w:pStyle w:val="11"/>
        <w:numPr>
          <w:ilvl w:val="1"/>
          <w:numId w:val="0"/>
        </w:numPr>
        <w:spacing w:before="156" w:after="156"/>
        <w:ind w:firstLine="840" w:firstLineChars="400"/>
        <w:outlineLvl w:val="1"/>
      </w:pPr>
      <w:bookmarkStart w:id="14" w:name="_Toc3604"/>
      <w:bookmarkEnd w:id="14"/>
      <w:r>
        <w:rPr>
          <w:rFonts w:hint="eastAsia"/>
        </w:rPr>
        <w:t>3.1  火锅 Hot pot</w:t>
      </w:r>
    </w:p>
    <w:p w14:paraId="6D0756D3">
      <w:pPr>
        <w:pStyle w:val="9"/>
        <w:ind w:left="840" w:leftChars="400"/>
      </w:pPr>
      <w:r>
        <w:rPr>
          <w:rFonts w:hint="eastAsia"/>
        </w:rPr>
        <w:t>一般是指以锅为器具，加入底料汤汁后上桌、加热，由食客自涮自食的一种炊、餐相结合的烹调方式，也指用这种烹调方式的器具和制作的菜式品类。</w:t>
      </w:r>
    </w:p>
    <w:p w14:paraId="7B741FD5">
      <w:pPr>
        <w:pStyle w:val="9"/>
        <w:ind w:left="840" w:leftChars="400"/>
      </w:pPr>
      <w:r>
        <w:rPr>
          <w:rFonts w:hint="eastAsia"/>
        </w:rPr>
        <w:t>火锅制作 Hot pot production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利用烹饪设备和工具，通过初加工、切配、预熟处理、腌制、装盘、烹制等环节将食材加工成火锅底料和涮食菜品的操作工艺。</w:t>
      </w:r>
    </w:p>
    <w:p w14:paraId="2BED5D3F">
      <w:pPr>
        <w:pStyle w:val="11"/>
        <w:numPr>
          <w:ilvl w:val="1"/>
          <w:numId w:val="0"/>
        </w:numPr>
        <w:spacing w:before="156" w:after="156"/>
        <w:ind w:firstLine="840" w:firstLineChars="400"/>
        <w:outlineLvl w:val="1"/>
      </w:pPr>
      <w:r>
        <w:rPr>
          <w:rFonts w:hint="eastAsia"/>
        </w:rPr>
        <w:t>3.2  火锅消费服务 Hot pot consumption service</w:t>
      </w:r>
    </w:p>
    <w:p w14:paraId="120EAFFB">
      <w:pPr>
        <w:ind w:firstLine="1260" w:firstLineChars="600"/>
      </w:pPr>
      <w:r>
        <w:rPr>
          <w:rFonts w:hint="eastAsia"/>
        </w:rPr>
        <w:t>提供用以满足火锅消费者相关饮食需求的服务。</w:t>
      </w:r>
    </w:p>
    <w:p w14:paraId="3FCA34BA">
      <w:pPr>
        <w:pStyle w:val="9"/>
      </w:pPr>
    </w:p>
    <w:p w14:paraId="1C465369">
      <w:pPr>
        <w:pStyle w:val="10"/>
        <w:numPr>
          <w:ilvl w:val="0"/>
          <w:numId w:val="0"/>
        </w:numPr>
        <w:spacing w:before="312" w:after="312"/>
        <w:ind w:firstLine="840" w:firstLineChars="400"/>
        <w:outlineLvl w:val="0"/>
        <w:rPr>
          <w:szCs w:val="22"/>
        </w:rPr>
      </w:pPr>
      <w:bookmarkStart w:id="15" w:name="_Toc25432"/>
      <w:bookmarkStart w:id="16" w:name="_Toc21873"/>
      <w:bookmarkStart w:id="17" w:name="_Toc29164"/>
      <w:r>
        <w:rPr>
          <w:rFonts w:hint="eastAsia"/>
          <w:szCs w:val="22"/>
        </w:rPr>
        <w:t>4  总则</w:t>
      </w:r>
      <w:bookmarkEnd w:id="15"/>
      <w:bookmarkEnd w:id="16"/>
    </w:p>
    <w:p w14:paraId="0CF16686">
      <w:pPr>
        <w:pStyle w:val="12"/>
        <w:numPr>
          <w:ilvl w:val="1"/>
          <w:numId w:val="0"/>
        </w:numPr>
        <w:spacing w:beforeLines="50" w:afterLines="50"/>
        <w:outlineLvl w:val="1"/>
        <w:rPr>
          <w:rFonts w:ascii="黑体" w:hAnsi="黑体" w:eastAsia="黑体" w:cs="黑体"/>
        </w:rPr>
      </w:pPr>
    </w:p>
    <w:p w14:paraId="6EF88DB9">
      <w:pPr>
        <w:pStyle w:val="12"/>
        <w:numPr>
          <w:ilvl w:val="1"/>
          <w:numId w:val="0"/>
        </w:numPr>
        <w:spacing w:beforeLines="50" w:afterLines="50"/>
        <w:outlineLvl w:val="1"/>
        <w:rPr>
          <w:rFonts w:ascii="黑体" w:hAnsi="黑体" w:eastAsia="黑体" w:cs="黑体"/>
        </w:rPr>
      </w:pPr>
    </w:p>
    <w:p w14:paraId="608BB743">
      <w:pPr>
        <w:pStyle w:val="12"/>
        <w:numPr>
          <w:ilvl w:val="1"/>
          <w:numId w:val="0"/>
        </w:numPr>
        <w:spacing w:beforeLines="50" w:afterLines="50"/>
        <w:ind w:firstLine="840" w:firstLineChars="400"/>
        <w:outlineLvl w:val="1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4.1  质量安全</w:t>
      </w:r>
    </w:p>
    <w:p w14:paraId="247191BD">
      <w:pPr>
        <w:pStyle w:val="12"/>
        <w:numPr>
          <w:ilvl w:val="1"/>
          <w:numId w:val="0"/>
        </w:numPr>
        <w:spacing w:beforeLines="50" w:afterLines="50"/>
        <w:ind w:left="840" w:leftChars="400" w:firstLine="420" w:firstLineChars="200"/>
        <w:rPr>
          <w:rFonts w:hAnsi="宋体" w:cs="宋体"/>
        </w:rPr>
      </w:pPr>
      <w:bookmarkStart w:id="18" w:name="_Toc30960"/>
      <w:r>
        <w:rPr>
          <w:rFonts w:hint="eastAsia" w:hAnsi="宋体" w:cs="宋体"/>
        </w:rPr>
        <w:t>火锅底料按产品常温形态分为：液态火锅底料、半固态火锅底料、固态火锅底料；按产品销售包装 类型分为：单一包装火锅底料、组合包装火锅底料。</w:t>
      </w:r>
    </w:p>
    <w:p w14:paraId="5C99298D">
      <w:pPr>
        <w:pStyle w:val="12"/>
        <w:numPr>
          <w:ilvl w:val="1"/>
          <w:numId w:val="0"/>
        </w:numPr>
        <w:spacing w:beforeLines="50" w:afterLines="50"/>
        <w:ind w:firstLine="1260" w:firstLineChars="600"/>
        <w:rPr>
          <w:rFonts w:hAnsi="宋体" w:cs="宋体"/>
        </w:rPr>
      </w:pPr>
      <w:r>
        <w:rPr>
          <w:rFonts w:hint="eastAsia" w:hAnsi="宋体" w:cs="宋体"/>
        </w:rPr>
        <w:t>感官要求应符合表1的要求。</w:t>
      </w:r>
    </w:p>
    <w:p w14:paraId="5A9E4CFD">
      <w:pPr>
        <w:pStyle w:val="12"/>
        <w:numPr>
          <w:ilvl w:val="1"/>
          <w:numId w:val="0"/>
        </w:numPr>
        <w:spacing w:beforeLines="50" w:afterLines="50"/>
        <w:ind w:firstLine="420" w:firstLineChars="200"/>
        <w:outlineLvl w:val="9"/>
        <w:rPr>
          <w:rFonts w:hAnsi="宋体" w:cs="宋体"/>
        </w:rPr>
      </w:pPr>
    </w:p>
    <w:p w14:paraId="12E6DE00">
      <w:pPr>
        <w:pStyle w:val="3"/>
        <w:spacing w:before="64" w:line="231" w:lineRule="auto"/>
        <w:ind w:left="4015"/>
        <w:rPr>
          <w:rFonts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pacing w:val="1"/>
          <w:sz w:val="20"/>
          <w:szCs w:val="20"/>
        </w:rPr>
        <w:t>表</w:t>
      </w:r>
      <w:r>
        <w:rPr>
          <w:rFonts w:hint="eastAsia" w:asciiTheme="minorEastAsia" w:hAnsiTheme="minorEastAsia" w:eastAsiaTheme="minorEastAsia" w:cstheme="minorEastAsia"/>
          <w:spacing w:val="-24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0"/>
          <w:szCs w:val="20"/>
        </w:rPr>
        <w:t>1</w:t>
      </w:r>
      <w:r>
        <w:rPr>
          <w:rFonts w:hint="eastAsia" w:asciiTheme="minorEastAsia" w:hAnsiTheme="minorEastAsia" w:eastAsiaTheme="minorEastAsia" w:cstheme="minorEastAsia"/>
          <w:spacing w:val="10"/>
          <w:sz w:val="20"/>
          <w:szCs w:val="20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"/>
          <w:sz w:val="20"/>
          <w:szCs w:val="20"/>
        </w:rPr>
        <w:t>感官要求</w:t>
      </w:r>
    </w:p>
    <w:tbl>
      <w:tblPr>
        <w:tblStyle w:val="14"/>
        <w:tblpPr w:leftFromText="180" w:rightFromText="180" w:vertAnchor="text" w:horzAnchor="page" w:tblpXSpec="center" w:tblpY="163"/>
        <w:tblOverlap w:val="never"/>
        <w:tblW w:w="86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243"/>
        <w:gridCol w:w="2075"/>
        <w:gridCol w:w="1286"/>
        <w:gridCol w:w="3050"/>
      </w:tblGrid>
      <w:tr w14:paraId="4E398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996" w:type="dxa"/>
            <w:vMerge w:val="restart"/>
            <w:tcBorders>
              <w:bottom w:val="nil"/>
            </w:tcBorders>
          </w:tcPr>
          <w:p w14:paraId="5ECCD42E">
            <w:pPr>
              <w:pStyle w:val="13"/>
              <w:spacing w:before="244" w:line="221" w:lineRule="auto"/>
              <w:ind w:left="32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项目</w:t>
            </w:r>
          </w:p>
        </w:tc>
        <w:tc>
          <w:tcPr>
            <w:tcW w:w="4604" w:type="dxa"/>
            <w:gridSpan w:val="3"/>
          </w:tcPr>
          <w:p w14:paraId="1BC8E9EA">
            <w:pPr>
              <w:pStyle w:val="13"/>
              <w:spacing w:before="71" w:line="222" w:lineRule="auto"/>
              <w:ind w:left="2722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要求</w:t>
            </w:r>
          </w:p>
        </w:tc>
        <w:tc>
          <w:tcPr>
            <w:tcW w:w="3050" w:type="dxa"/>
            <w:vMerge w:val="restart"/>
            <w:tcBorders>
              <w:bottom w:val="nil"/>
            </w:tcBorders>
          </w:tcPr>
          <w:p w14:paraId="160FE89C">
            <w:pPr>
              <w:pStyle w:val="13"/>
              <w:spacing w:before="245" w:line="220" w:lineRule="auto"/>
              <w:ind w:left="964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检验方法</w:t>
            </w:r>
          </w:p>
        </w:tc>
      </w:tr>
      <w:tr w14:paraId="6ACC8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96" w:type="dxa"/>
            <w:vMerge w:val="continue"/>
            <w:tcBorders>
              <w:top w:val="nil"/>
            </w:tcBorders>
          </w:tcPr>
          <w:p w14:paraId="055A8D65">
            <w:pPr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43" w:type="dxa"/>
          </w:tcPr>
          <w:p w14:paraId="208B31C6">
            <w:pPr>
              <w:pStyle w:val="13"/>
              <w:spacing w:before="79" w:line="22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液态火锅底料</w:t>
            </w:r>
          </w:p>
        </w:tc>
        <w:tc>
          <w:tcPr>
            <w:tcW w:w="2075" w:type="dxa"/>
          </w:tcPr>
          <w:p w14:paraId="3273EA77">
            <w:pPr>
              <w:pStyle w:val="13"/>
              <w:spacing w:before="79" w:line="220" w:lineRule="auto"/>
              <w:ind w:left="322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半固态火锅底料</w:t>
            </w:r>
          </w:p>
        </w:tc>
        <w:tc>
          <w:tcPr>
            <w:tcW w:w="1286" w:type="dxa"/>
          </w:tcPr>
          <w:p w14:paraId="41926997">
            <w:pPr>
              <w:pStyle w:val="13"/>
              <w:spacing w:before="79" w:line="220" w:lineRule="auto"/>
              <w:ind w:firstLine="172" w:firstLineChars="10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固态火锅底料</w:t>
            </w:r>
          </w:p>
        </w:tc>
        <w:tc>
          <w:tcPr>
            <w:tcW w:w="3050" w:type="dxa"/>
            <w:vMerge w:val="continue"/>
            <w:tcBorders>
              <w:top w:val="nil"/>
            </w:tcBorders>
          </w:tcPr>
          <w:p w14:paraId="2FE42938">
            <w:pPr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14:paraId="34253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96" w:type="dxa"/>
          </w:tcPr>
          <w:p w14:paraId="66AF4290">
            <w:pPr>
              <w:pStyle w:val="13"/>
              <w:spacing w:before="68" w:line="221" w:lineRule="auto"/>
              <w:ind w:left="319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色泽</w:t>
            </w:r>
          </w:p>
        </w:tc>
        <w:tc>
          <w:tcPr>
            <w:tcW w:w="4604" w:type="dxa"/>
            <w:gridSpan w:val="3"/>
          </w:tcPr>
          <w:p w14:paraId="5A4AB8AF">
            <w:pPr>
              <w:pStyle w:val="13"/>
              <w:spacing w:before="69" w:line="219" w:lineRule="auto"/>
              <w:ind w:left="56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具有本产品相应的色泽</w:t>
            </w:r>
          </w:p>
        </w:tc>
        <w:tc>
          <w:tcPr>
            <w:tcW w:w="3050" w:type="dxa"/>
            <w:vMerge w:val="restart"/>
            <w:tcBorders>
              <w:bottom w:val="nil"/>
            </w:tcBorders>
          </w:tcPr>
          <w:p w14:paraId="52F8EEAD">
            <w:pPr>
              <w:spacing w:line="291" w:lineRule="auto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  <w:p w14:paraId="59459CF9">
            <w:pPr>
              <w:pStyle w:val="13"/>
              <w:spacing w:before="58" w:line="278" w:lineRule="auto"/>
              <w:ind w:left="57" w:right="67" w:firstLine="1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取适量试样于白色瓷盘，在自然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光下观察色泽，闻其气味，用温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开水漱口，品尝滋味。</w:t>
            </w:r>
          </w:p>
        </w:tc>
      </w:tr>
      <w:tr w14:paraId="62B2F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96" w:type="dxa"/>
          </w:tcPr>
          <w:p w14:paraId="01C11A5A">
            <w:pPr>
              <w:pStyle w:val="13"/>
              <w:spacing w:before="69" w:line="221" w:lineRule="auto"/>
              <w:ind w:left="139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滋味气味</w:t>
            </w:r>
          </w:p>
        </w:tc>
        <w:tc>
          <w:tcPr>
            <w:tcW w:w="4604" w:type="dxa"/>
            <w:gridSpan w:val="3"/>
          </w:tcPr>
          <w:p w14:paraId="08434874">
            <w:pPr>
              <w:pStyle w:val="13"/>
              <w:spacing w:before="69" w:line="219" w:lineRule="auto"/>
              <w:ind w:left="56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具有本产品相应的香气、滋味，无异味</w:t>
            </w:r>
          </w:p>
        </w:tc>
        <w:tc>
          <w:tcPr>
            <w:tcW w:w="3050" w:type="dxa"/>
            <w:vMerge w:val="continue"/>
            <w:tcBorders>
              <w:top w:val="nil"/>
              <w:bottom w:val="nil"/>
            </w:tcBorders>
          </w:tcPr>
          <w:p w14:paraId="494B1546">
            <w:pPr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14:paraId="2A1F9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996" w:type="dxa"/>
          </w:tcPr>
          <w:p w14:paraId="15EC2FC9">
            <w:pPr>
              <w:pStyle w:val="13"/>
              <w:spacing w:before="130" w:line="222" w:lineRule="auto"/>
              <w:ind w:left="139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组织形态</w:t>
            </w:r>
          </w:p>
        </w:tc>
        <w:tc>
          <w:tcPr>
            <w:tcW w:w="1243" w:type="dxa"/>
          </w:tcPr>
          <w:p w14:paraId="13F0E365">
            <w:pPr>
              <w:pStyle w:val="13"/>
              <w:spacing w:before="144" w:line="221" w:lineRule="auto"/>
              <w:ind w:left="56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常温下呈液态</w:t>
            </w:r>
          </w:p>
        </w:tc>
        <w:tc>
          <w:tcPr>
            <w:tcW w:w="2075" w:type="dxa"/>
          </w:tcPr>
          <w:p w14:paraId="29D03F65">
            <w:pPr>
              <w:pStyle w:val="13"/>
              <w:spacing w:before="148" w:line="221" w:lineRule="auto"/>
              <w:ind w:left="59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常温下呈固液混合态</w:t>
            </w:r>
          </w:p>
        </w:tc>
        <w:tc>
          <w:tcPr>
            <w:tcW w:w="1286" w:type="dxa"/>
          </w:tcPr>
          <w:p w14:paraId="3E900863">
            <w:pPr>
              <w:pStyle w:val="13"/>
              <w:spacing w:before="148" w:line="221" w:lineRule="auto"/>
              <w:ind w:left="59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常温下呈固态</w:t>
            </w:r>
          </w:p>
        </w:tc>
        <w:tc>
          <w:tcPr>
            <w:tcW w:w="3050" w:type="dxa"/>
            <w:vMerge w:val="continue"/>
            <w:tcBorders>
              <w:top w:val="nil"/>
              <w:bottom w:val="nil"/>
            </w:tcBorders>
          </w:tcPr>
          <w:p w14:paraId="730F1B44">
            <w:pPr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14:paraId="373D2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996" w:type="dxa"/>
          </w:tcPr>
          <w:p w14:paraId="6F7404BB">
            <w:pPr>
              <w:pStyle w:val="13"/>
              <w:spacing w:before="72" w:line="220" w:lineRule="auto"/>
              <w:ind w:left="319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杂质</w:t>
            </w:r>
          </w:p>
        </w:tc>
        <w:tc>
          <w:tcPr>
            <w:tcW w:w="4604" w:type="dxa"/>
            <w:gridSpan w:val="3"/>
          </w:tcPr>
          <w:p w14:paraId="4909903D">
            <w:pPr>
              <w:pStyle w:val="13"/>
              <w:spacing w:before="72" w:line="220" w:lineRule="auto"/>
              <w:ind w:left="54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无肉眼可见外来杂质</w:t>
            </w:r>
          </w:p>
        </w:tc>
        <w:tc>
          <w:tcPr>
            <w:tcW w:w="3050" w:type="dxa"/>
            <w:vMerge w:val="continue"/>
            <w:tcBorders>
              <w:top w:val="nil"/>
            </w:tcBorders>
          </w:tcPr>
          <w:p w14:paraId="640C4EB8">
            <w:pPr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29842CE4">
      <w:pPr>
        <w:spacing w:line="165" w:lineRule="exact"/>
        <w:rPr>
          <w:rFonts w:asciiTheme="minorEastAsia" w:hAnsiTheme="minorEastAsia" w:cstheme="minorEastAsia"/>
          <w:szCs w:val="21"/>
        </w:rPr>
      </w:pPr>
    </w:p>
    <w:p w14:paraId="55BE546A">
      <w:pPr>
        <w:spacing w:before="217" w:line="228" w:lineRule="auto"/>
        <w:ind w:left="467"/>
        <w:rPr>
          <w:rFonts w:asciiTheme="minorEastAsia" w:hAnsiTheme="minorEastAsia" w:cstheme="minorEastAsia"/>
          <w:spacing w:val="5"/>
          <w:szCs w:val="21"/>
        </w:rPr>
      </w:pPr>
    </w:p>
    <w:p w14:paraId="46B985B0">
      <w:pPr>
        <w:spacing w:before="217" w:line="228" w:lineRule="auto"/>
        <w:ind w:left="467"/>
        <w:rPr>
          <w:rFonts w:asciiTheme="minorEastAsia" w:hAnsiTheme="minorEastAsia" w:cstheme="minorEastAsia"/>
          <w:spacing w:val="5"/>
          <w:szCs w:val="21"/>
        </w:rPr>
      </w:pPr>
      <w:r>
        <w:rPr>
          <w:rFonts w:hint="eastAsia" w:asciiTheme="minorEastAsia" w:hAnsiTheme="minorEastAsia" w:cstheme="minorEastAsia"/>
          <w:spacing w:val="5"/>
          <w:szCs w:val="21"/>
        </w:rPr>
        <w:t>理化指标应       理化指标符合表</w:t>
      </w:r>
      <w:r>
        <w:rPr>
          <w:rFonts w:hint="eastAsia" w:asciiTheme="minorEastAsia" w:hAnsiTheme="minorEastAsia" w:cstheme="minorEastAsia"/>
          <w:spacing w:val="-39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5"/>
          <w:szCs w:val="21"/>
        </w:rPr>
        <w:t>2的规定。</w:t>
      </w:r>
    </w:p>
    <w:p w14:paraId="40B60599">
      <w:pPr>
        <w:pStyle w:val="3"/>
        <w:spacing w:before="221" w:line="231" w:lineRule="auto"/>
        <w:ind w:left="4015"/>
        <w:rPr>
          <w:rFonts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pacing w:val="4"/>
          <w:sz w:val="20"/>
          <w:szCs w:val="20"/>
        </w:rPr>
        <w:t>表</w:t>
      </w:r>
      <w:r>
        <w:rPr>
          <w:rFonts w:hint="eastAsia" w:asciiTheme="minorEastAsia" w:hAnsiTheme="minorEastAsia" w:eastAsiaTheme="minorEastAsia" w:cstheme="minorEastAsia"/>
          <w:spacing w:val="-4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0"/>
          <w:szCs w:val="20"/>
        </w:rPr>
        <w:t>2</w:t>
      </w:r>
      <w:r>
        <w:rPr>
          <w:rFonts w:hint="eastAsia" w:asciiTheme="minorEastAsia" w:hAnsiTheme="minorEastAsia" w:eastAsiaTheme="minorEastAsia" w:cstheme="minorEastAsia"/>
          <w:spacing w:val="9"/>
          <w:sz w:val="20"/>
          <w:szCs w:val="20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4"/>
          <w:sz w:val="20"/>
          <w:szCs w:val="20"/>
        </w:rPr>
        <w:t>理化指标</w:t>
      </w:r>
    </w:p>
    <w:p w14:paraId="6EF5F1BA">
      <w:pPr>
        <w:spacing w:line="166" w:lineRule="exact"/>
        <w:rPr>
          <w:rFonts w:asciiTheme="minorEastAsia" w:hAnsiTheme="minorEastAsia" w:cstheme="minorEastAsia"/>
          <w:szCs w:val="21"/>
        </w:rPr>
      </w:pPr>
    </w:p>
    <w:tbl>
      <w:tblPr>
        <w:tblStyle w:val="14"/>
        <w:tblW w:w="8816" w:type="dxa"/>
        <w:tblInd w:w="5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7"/>
        <w:gridCol w:w="1329"/>
        <w:gridCol w:w="1313"/>
        <w:gridCol w:w="1350"/>
        <w:gridCol w:w="1417"/>
      </w:tblGrid>
      <w:tr w14:paraId="34F21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07" w:type="dxa"/>
            <w:vMerge w:val="restart"/>
            <w:tcBorders>
              <w:bottom w:val="nil"/>
            </w:tcBorders>
          </w:tcPr>
          <w:p w14:paraId="53E2E7A0">
            <w:pPr>
              <w:pStyle w:val="13"/>
              <w:spacing w:before="255" w:line="221" w:lineRule="auto"/>
              <w:ind w:left="1692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项目</w:t>
            </w:r>
          </w:p>
        </w:tc>
        <w:tc>
          <w:tcPr>
            <w:tcW w:w="3992" w:type="dxa"/>
            <w:gridSpan w:val="3"/>
          </w:tcPr>
          <w:p w14:paraId="49933B02">
            <w:pPr>
              <w:pStyle w:val="13"/>
              <w:spacing w:before="70" w:line="221" w:lineRule="auto"/>
              <w:ind w:left="1768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指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标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354CB85F">
            <w:pPr>
              <w:pStyle w:val="13"/>
              <w:spacing w:before="256" w:line="220" w:lineRule="auto"/>
              <w:ind w:left="396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检验方法</w:t>
            </w:r>
          </w:p>
        </w:tc>
      </w:tr>
      <w:tr w14:paraId="598AB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407" w:type="dxa"/>
            <w:vMerge w:val="continue"/>
            <w:tcBorders>
              <w:top w:val="nil"/>
            </w:tcBorders>
          </w:tcPr>
          <w:p w14:paraId="0D3103F1">
            <w:pPr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29" w:type="dxa"/>
          </w:tcPr>
          <w:p w14:paraId="39276E6C">
            <w:pPr>
              <w:pStyle w:val="13"/>
              <w:spacing w:before="100" w:line="220" w:lineRule="auto"/>
              <w:ind w:left="128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液态火锅底料</w:t>
            </w:r>
          </w:p>
        </w:tc>
        <w:tc>
          <w:tcPr>
            <w:tcW w:w="1313" w:type="dxa"/>
          </w:tcPr>
          <w:p w14:paraId="7B80CB0C">
            <w:pPr>
              <w:pStyle w:val="13"/>
              <w:spacing w:before="100" w:line="220" w:lineRule="auto"/>
              <w:ind w:left="126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半固态火锅底料</w:t>
            </w:r>
          </w:p>
        </w:tc>
        <w:tc>
          <w:tcPr>
            <w:tcW w:w="1350" w:type="dxa"/>
          </w:tcPr>
          <w:p w14:paraId="374D4FF0">
            <w:pPr>
              <w:pStyle w:val="13"/>
              <w:spacing w:before="100" w:line="220" w:lineRule="auto"/>
              <w:ind w:left="138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固态火锅底料</w:t>
            </w: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008A6EAE">
            <w:pPr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14:paraId="79DDC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407" w:type="dxa"/>
          </w:tcPr>
          <w:p w14:paraId="556C4A4F">
            <w:pPr>
              <w:pStyle w:val="13"/>
              <w:spacing w:before="39" w:line="250" w:lineRule="exact"/>
              <w:ind w:left="12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position w:val="2"/>
              </w:rPr>
              <w:t>酸价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position w:val="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position w:val="8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position w:val="2"/>
              </w:rPr>
              <w:t>（以脂肪计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position w:val="2"/>
              </w:rPr>
              <w:t>）（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</w:rPr>
              <w:t>KOH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position w:val="2"/>
              </w:rPr>
              <w:t>）/（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</w:rPr>
              <w:t>mg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position w:val="2"/>
              </w:rPr>
              <w:t>/g） ≤</w:t>
            </w:r>
          </w:p>
        </w:tc>
        <w:tc>
          <w:tcPr>
            <w:tcW w:w="3992" w:type="dxa"/>
            <w:gridSpan w:val="3"/>
          </w:tcPr>
          <w:p w14:paraId="3C5040A1">
            <w:pPr>
              <w:spacing w:before="107" w:line="188" w:lineRule="auto"/>
              <w:ind w:left="1970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3.0</w:t>
            </w:r>
          </w:p>
        </w:tc>
        <w:tc>
          <w:tcPr>
            <w:tcW w:w="1417" w:type="dxa"/>
          </w:tcPr>
          <w:p w14:paraId="5D05E6E5">
            <w:pPr>
              <w:spacing w:before="107" w:line="188" w:lineRule="auto"/>
              <w:ind w:left="271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GB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14"/>
                <w:w w:val="10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5009.229</w:t>
            </w:r>
          </w:p>
        </w:tc>
      </w:tr>
      <w:tr w14:paraId="5822E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407" w:type="dxa"/>
          </w:tcPr>
          <w:p w14:paraId="4C998934">
            <w:pPr>
              <w:pStyle w:val="13"/>
              <w:spacing w:before="40" w:line="250" w:lineRule="exact"/>
              <w:ind w:left="116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</w:rPr>
              <w:t>过氧化值（以脂肪计）/（g/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</w:rPr>
              <w:t>100g）   ≤</w:t>
            </w:r>
          </w:p>
        </w:tc>
        <w:tc>
          <w:tcPr>
            <w:tcW w:w="3992" w:type="dxa"/>
            <w:gridSpan w:val="3"/>
          </w:tcPr>
          <w:p w14:paraId="41A460A5">
            <w:pPr>
              <w:spacing w:before="98" w:line="188" w:lineRule="auto"/>
              <w:ind w:left="1924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0.25</w:t>
            </w:r>
          </w:p>
        </w:tc>
        <w:tc>
          <w:tcPr>
            <w:tcW w:w="1417" w:type="dxa"/>
          </w:tcPr>
          <w:p w14:paraId="49A8C289">
            <w:pPr>
              <w:spacing w:before="98" w:line="188" w:lineRule="auto"/>
              <w:ind w:left="271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GB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14"/>
                <w:w w:val="10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5009.227</w:t>
            </w:r>
          </w:p>
        </w:tc>
      </w:tr>
      <w:tr w14:paraId="742F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07" w:type="dxa"/>
          </w:tcPr>
          <w:p w14:paraId="3FEEF144">
            <w:pPr>
              <w:pStyle w:val="13"/>
              <w:spacing w:before="42" w:line="250" w:lineRule="exact"/>
              <w:ind w:left="121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</w:rPr>
              <w:t>亚硝酸盐</w:t>
            </w:r>
            <w:r>
              <w:rPr>
                <w:rFonts w:hint="eastAsia" w:asciiTheme="minorEastAsia" w:hAnsiTheme="minorEastAsia" w:eastAsiaTheme="minorEastAsia" w:cstheme="minorEastAsia"/>
                <w:spacing w:val="-45"/>
                <w:position w:val="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7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</w:rPr>
              <w:t>（以</w:t>
            </w:r>
            <w:r>
              <w:rPr>
                <w:rFonts w:hint="eastAsia" w:asciiTheme="minorEastAsia" w:hAnsiTheme="minorEastAsia" w:eastAsiaTheme="minorEastAsia" w:cstheme="minorEastAsia"/>
                <w:spacing w:val="-46"/>
                <w:position w:val="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</w:rPr>
              <w:t>NO</w:t>
            </w:r>
            <w:r>
              <w:rPr>
                <w:rFonts w:hint="eastAsia" w:asciiTheme="minorEastAsia" w:hAnsiTheme="minorEastAsia" w:eastAsiaTheme="minorEastAsia" w:cstheme="minorEastAsia"/>
                <w:position w:val="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</w:rPr>
              <w:t xml:space="preserve">-计）/（mg/kg） 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</w:rPr>
              <w:t>≤</w:t>
            </w:r>
          </w:p>
        </w:tc>
        <w:tc>
          <w:tcPr>
            <w:tcW w:w="3992" w:type="dxa"/>
            <w:gridSpan w:val="3"/>
          </w:tcPr>
          <w:p w14:paraId="1F442368">
            <w:pPr>
              <w:spacing w:before="100" w:line="188" w:lineRule="auto"/>
              <w:ind w:left="2006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7" w:type="dxa"/>
          </w:tcPr>
          <w:p w14:paraId="37D7C2B3">
            <w:pPr>
              <w:spacing w:before="100" w:line="188" w:lineRule="auto"/>
              <w:ind w:left="316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GB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12"/>
                <w:w w:val="10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5009.33</w:t>
            </w:r>
          </w:p>
        </w:tc>
      </w:tr>
      <w:tr w14:paraId="7F27C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07" w:type="dxa"/>
          </w:tcPr>
          <w:p w14:paraId="45401164">
            <w:pPr>
              <w:pStyle w:val="13"/>
              <w:spacing w:before="40" w:line="250" w:lineRule="exact"/>
              <w:ind w:left="131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</w:rPr>
              <w:t>总砷（以</w:t>
            </w:r>
            <w:r>
              <w:rPr>
                <w:rFonts w:hint="eastAsia" w:asciiTheme="minorEastAsia" w:hAnsiTheme="minorEastAsia" w:eastAsiaTheme="minorEastAsia" w:cstheme="minorEastAsia"/>
                <w:spacing w:val="-40"/>
                <w:position w:val="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</w:rPr>
              <w:t>As 计）/（mg/kg）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position w:val="2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</w:rPr>
              <w:t>≤</w:t>
            </w:r>
          </w:p>
        </w:tc>
        <w:tc>
          <w:tcPr>
            <w:tcW w:w="1329" w:type="dxa"/>
          </w:tcPr>
          <w:p w14:paraId="25CC45BE">
            <w:pPr>
              <w:spacing w:before="100" w:line="188" w:lineRule="auto"/>
              <w:ind w:left="561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313" w:type="dxa"/>
          </w:tcPr>
          <w:p w14:paraId="2F866EAC">
            <w:pPr>
              <w:spacing w:before="100" w:line="188" w:lineRule="auto"/>
              <w:ind w:left="649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350" w:type="dxa"/>
          </w:tcPr>
          <w:p w14:paraId="0BD6375B">
            <w:pPr>
              <w:spacing w:before="98" w:line="188" w:lineRule="auto"/>
              <w:ind w:left="549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0.4</w:t>
            </w:r>
          </w:p>
        </w:tc>
        <w:tc>
          <w:tcPr>
            <w:tcW w:w="1417" w:type="dxa"/>
          </w:tcPr>
          <w:p w14:paraId="27CE632A">
            <w:pPr>
              <w:spacing w:before="100" w:line="188" w:lineRule="auto"/>
              <w:ind w:left="321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GB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16"/>
                <w:w w:val="10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5009.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11</w:t>
            </w:r>
          </w:p>
        </w:tc>
      </w:tr>
      <w:tr w14:paraId="6E9D3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07" w:type="dxa"/>
          </w:tcPr>
          <w:p w14:paraId="53EBA890">
            <w:pPr>
              <w:pStyle w:val="13"/>
              <w:spacing w:before="41" w:line="249" w:lineRule="exact"/>
              <w:ind w:left="117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</w:rPr>
              <w:t>铅（以</w:t>
            </w:r>
            <w:r>
              <w:rPr>
                <w:rFonts w:hint="eastAsia" w:asciiTheme="minorEastAsia" w:hAnsiTheme="minorEastAsia" w:eastAsiaTheme="minorEastAsia" w:cstheme="minorEastAsia"/>
                <w:spacing w:val="-33"/>
                <w:position w:val="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</w:rPr>
              <w:t>Pb 计）/(  mg/kg)           ≤</w:t>
            </w:r>
          </w:p>
        </w:tc>
        <w:tc>
          <w:tcPr>
            <w:tcW w:w="1329" w:type="dxa"/>
          </w:tcPr>
          <w:p w14:paraId="0E29C809">
            <w:pPr>
              <w:spacing w:before="101" w:line="188" w:lineRule="auto"/>
              <w:ind w:left="561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0.1</w:t>
            </w:r>
          </w:p>
        </w:tc>
        <w:tc>
          <w:tcPr>
            <w:tcW w:w="1313" w:type="dxa"/>
          </w:tcPr>
          <w:p w14:paraId="72724F04">
            <w:pPr>
              <w:spacing w:before="101" w:line="188" w:lineRule="auto"/>
              <w:ind w:left="649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0.2</w:t>
            </w:r>
          </w:p>
        </w:tc>
        <w:tc>
          <w:tcPr>
            <w:tcW w:w="1350" w:type="dxa"/>
          </w:tcPr>
          <w:p w14:paraId="594BBC79">
            <w:pPr>
              <w:spacing w:before="98" w:line="188" w:lineRule="auto"/>
              <w:ind w:left="549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1417" w:type="dxa"/>
          </w:tcPr>
          <w:p w14:paraId="30CD5F10">
            <w:pPr>
              <w:spacing w:before="101" w:line="188" w:lineRule="auto"/>
              <w:ind w:left="316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GB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5009.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12</w:t>
            </w:r>
          </w:p>
        </w:tc>
      </w:tr>
      <w:tr w14:paraId="65F02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407" w:type="dxa"/>
          </w:tcPr>
          <w:p w14:paraId="78F8565D">
            <w:pPr>
              <w:pStyle w:val="13"/>
              <w:spacing w:before="41" w:line="250" w:lineRule="exact"/>
              <w:ind w:left="119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</w:rPr>
              <w:t>黄曲霉毒素</w:t>
            </w:r>
            <w:r>
              <w:rPr>
                <w:rFonts w:hint="eastAsia" w:asciiTheme="minorEastAsia" w:hAnsiTheme="minorEastAsia" w:eastAsiaTheme="minorEastAsia" w:cstheme="minorEastAsia"/>
                <w:spacing w:val="-31"/>
                <w:position w:val="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position w:val="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</w:rPr>
              <w:t xml:space="preserve">/(μg/kg)      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lang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</w:rPr>
              <w:t>≤</w:t>
            </w:r>
          </w:p>
        </w:tc>
        <w:tc>
          <w:tcPr>
            <w:tcW w:w="3992" w:type="dxa"/>
            <w:gridSpan w:val="3"/>
          </w:tcPr>
          <w:p w14:paraId="6161AA7B">
            <w:pPr>
              <w:spacing w:before="101" w:line="188" w:lineRule="auto"/>
              <w:ind w:left="1972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5.0</w:t>
            </w:r>
          </w:p>
        </w:tc>
        <w:tc>
          <w:tcPr>
            <w:tcW w:w="1417" w:type="dxa"/>
          </w:tcPr>
          <w:p w14:paraId="53430C0C">
            <w:pPr>
              <w:spacing w:before="101" w:line="188" w:lineRule="auto"/>
              <w:ind w:left="316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GB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12"/>
                <w:w w:val="10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5009.22</w:t>
            </w:r>
          </w:p>
        </w:tc>
      </w:tr>
      <w:tr w14:paraId="218C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407" w:type="dxa"/>
          </w:tcPr>
          <w:p w14:paraId="702D4D30">
            <w:pPr>
              <w:pStyle w:val="13"/>
              <w:spacing w:before="44" w:line="250" w:lineRule="exact"/>
              <w:ind w:left="117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29" w:type="dxa"/>
          </w:tcPr>
          <w:p w14:paraId="47FE411B">
            <w:pPr>
              <w:spacing w:before="102" w:line="188" w:lineRule="auto"/>
              <w:ind w:left="509"/>
              <w:rPr>
                <w:rFonts w:asciiTheme="minorEastAsia" w:hAnsiTheme="minorEastAsia" w:cstheme="minorEastAsia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13" w:type="dxa"/>
          </w:tcPr>
          <w:p w14:paraId="248BFD0D">
            <w:pPr>
              <w:pStyle w:val="13"/>
              <w:spacing w:before="158" w:line="122" w:lineRule="exact"/>
              <w:ind w:left="662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50" w:type="dxa"/>
          </w:tcPr>
          <w:p w14:paraId="3D81427F">
            <w:pPr>
              <w:pStyle w:val="13"/>
              <w:spacing w:before="158" w:line="122" w:lineRule="exact"/>
              <w:ind w:left="572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</w:tcPr>
          <w:p w14:paraId="638CF474">
            <w:pPr>
              <w:pStyle w:val="13"/>
              <w:spacing w:before="73" w:line="219" w:lineRule="auto"/>
              <w:ind w:left="504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2492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816" w:type="dxa"/>
            <w:gridSpan w:val="5"/>
          </w:tcPr>
          <w:p w14:paraId="09306004">
            <w:pPr>
              <w:pStyle w:val="13"/>
              <w:spacing w:before="60" w:line="229" w:lineRule="auto"/>
              <w:ind w:left="114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 w14:paraId="263CEB6E">
      <w:pPr>
        <w:pStyle w:val="12"/>
        <w:numPr>
          <w:ilvl w:val="1"/>
          <w:numId w:val="0"/>
        </w:numPr>
        <w:spacing w:beforeLines="50" w:afterLines="50"/>
        <w:outlineLvl w:val="9"/>
        <w:rPr>
          <w:rFonts w:hAnsi="宋体" w:cs="宋体"/>
        </w:rPr>
      </w:pPr>
    </w:p>
    <w:bookmarkEnd w:id="18"/>
    <w:p w14:paraId="1FEF7733">
      <w:pPr>
        <w:pStyle w:val="12"/>
        <w:numPr>
          <w:ilvl w:val="1"/>
          <w:numId w:val="0"/>
        </w:numPr>
        <w:spacing w:beforeLines="70" w:afterLines="70"/>
        <w:ind w:left="630" w:leftChars="300"/>
      </w:pPr>
      <w:r>
        <w:rPr>
          <w:rFonts w:hint="eastAsia" w:ascii="黑体" w:hAnsi="黑体" w:eastAsia="黑体" w:cs="黑体"/>
        </w:rPr>
        <w:t xml:space="preserve">4.2  </w:t>
      </w:r>
      <w:r>
        <w:rPr>
          <w:rFonts w:hint="eastAsia" w:hAnsi="宋体" w:cs="宋体"/>
        </w:rPr>
        <w:t>火锅企业主动参加餐饮服务量化分级评定，纳入星级管理；实施4D厨房+食品安全色标体系管理；参加食品安全责任保险。</w:t>
      </w:r>
    </w:p>
    <w:p w14:paraId="3DE56535">
      <w:pPr>
        <w:pStyle w:val="12"/>
        <w:numPr>
          <w:ilvl w:val="1"/>
          <w:numId w:val="0"/>
        </w:numPr>
        <w:spacing w:beforeLines="70" w:afterLines="70"/>
        <w:ind w:firstLine="630" w:firstLineChars="300"/>
      </w:pPr>
      <w:r>
        <w:rPr>
          <w:rFonts w:hint="eastAsia" w:ascii="黑体" w:hAnsi="黑体" w:eastAsia="黑体" w:cs="黑体"/>
        </w:rPr>
        <w:t xml:space="preserve">4.3  </w:t>
      </w:r>
      <w:r>
        <w:rPr>
          <w:rFonts w:hint="eastAsia" w:hAnsi="宋体"/>
        </w:rPr>
        <w:t>经营环节中各种制度建设和文件记录应符合DB21/T 3544-2021各项要求。</w:t>
      </w:r>
    </w:p>
    <w:p w14:paraId="7A5242EF">
      <w:pPr>
        <w:pStyle w:val="12"/>
        <w:numPr>
          <w:ilvl w:val="1"/>
          <w:numId w:val="0"/>
        </w:numPr>
        <w:spacing w:beforeLines="70" w:afterLines="70"/>
        <w:ind w:firstLine="630" w:firstLineChars="300"/>
        <w:outlineLvl w:val="1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4.4  食材溯源</w:t>
      </w:r>
    </w:p>
    <w:p w14:paraId="79DC95E8">
      <w:pPr>
        <w:pStyle w:val="12"/>
        <w:numPr>
          <w:ilvl w:val="1"/>
          <w:numId w:val="0"/>
        </w:numPr>
        <w:spacing w:beforeLines="70" w:afterLines="70"/>
        <w:ind w:firstLine="420" w:firstLineChars="200"/>
        <w:rPr>
          <w:rFonts w:hAnsi="宋体"/>
        </w:rPr>
      </w:pPr>
    </w:p>
    <w:p w14:paraId="1C525B19">
      <w:pPr>
        <w:pStyle w:val="12"/>
        <w:numPr>
          <w:ilvl w:val="1"/>
          <w:numId w:val="0"/>
        </w:numPr>
        <w:spacing w:beforeLines="70" w:afterLines="70"/>
        <w:ind w:firstLine="420" w:firstLineChars="200"/>
        <w:rPr>
          <w:rFonts w:hAnsi="宋体"/>
        </w:rPr>
      </w:pPr>
    </w:p>
    <w:p w14:paraId="7DD7CF84">
      <w:pPr>
        <w:pStyle w:val="12"/>
        <w:numPr>
          <w:ilvl w:val="1"/>
          <w:numId w:val="0"/>
        </w:numPr>
        <w:spacing w:beforeLines="70" w:afterLines="70"/>
        <w:ind w:firstLine="420" w:firstLineChars="200"/>
        <w:rPr>
          <w:rFonts w:hAnsi="宋体"/>
        </w:rPr>
      </w:pPr>
    </w:p>
    <w:p w14:paraId="214B04FA">
      <w:pPr>
        <w:pStyle w:val="12"/>
        <w:numPr>
          <w:ilvl w:val="1"/>
          <w:numId w:val="0"/>
        </w:numPr>
        <w:spacing w:beforeLines="70" w:afterLines="70"/>
        <w:ind w:left="630" w:leftChars="300" w:firstLine="420" w:firstLineChars="200"/>
        <w:rPr>
          <w:rFonts w:hAnsi="宋体" w:cs="宋体"/>
        </w:rPr>
      </w:pPr>
      <w:r>
        <w:rPr>
          <w:rFonts w:hint="eastAsia" w:hAnsi="宋体"/>
        </w:rPr>
        <w:t>基于GB 14881、GB/T27306、GB 31654、SB/T 11166等标准要求，构建火锅食材供应链体系，对火锅服务重要食材信息实施追溯管理，识别、监测和控制火锅服务提供过程中的安全风险，保证火锅产品质量安全。</w:t>
      </w:r>
    </w:p>
    <w:p w14:paraId="764DC71A">
      <w:pPr>
        <w:pStyle w:val="12"/>
        <w:numPr>
          <w:ilvl w:val="1"/>
          <w:numId w:val="0"/>
        </w:numPr>
        <w:spacing w:beforeLines="70" w:afterLines="70"/>
        <w:ind w:firstLine="630" w:firstLineChars="300"/>
        <w:outlineLvl w:val="1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4.5  流程优化，资源整合</w:t>
      </w:r>
    </w:p>
    <w:p w14:paraId="31D7ADE0">
      <w:pPr>
        <w:pStyle w:val="12"/>
        <w:numPr>
          <w:ilvl w:val="1"/>
          <w:numId w:val="0"/>
        </w:numPr>
        <w:spacing w:beforeLines="70" w:afterLines="70"/>
        <w:ind w:left="630" w:leftChars="300" w:firstLine="420" w:firstLineChars="200"/>
        <w:rPr>
          <w:rFonts w:hAnsi="宋体" w:cs="宋体"/>
        </w:rPr>
      </w:pPr>
      <w:r>
        <w:rPr>
          <w:rFonts w:hint="eastAsia" w:hAnsi="宋体" w:cs="宋体"/>
        </w:rPr>
        <w:t>利用大数据技术优化供应链管理和客户服务，推动协同采购、协同配送、协同加工、分工协作等机制形成，为火锅产品加工和消费提供全程的资源动态整合与调配。</w:t>
      </w:r>
    </w:p>
    <w:p w14:paraId="7A3484D1">
      <w:pPr>
        <w:pStyle w:val="12"/>
        <w:numPr>
          <w:ilvl w:val="1"/>
          <w:numId w:val="0"/>
        </w:numPr>
        <w:spacing w:beforeLines="70" w:afterLines="70"/>
        <w:ind w:firstLine="630" w:firstLineChars="300"/>
        <w:outlineLvl w:val="1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4.6  科学预测，快速响应</w:t>
      </w:r>
    </w:p>
    <w:p w14:paraId="37BFB45E">
      <w:pPr>
        <w:pStyle w:val="12"/>
        <w:numPr>
          <w:ilvl w:val="1"/>
          <w:numId w:val="0"/>
        </w:numPr>
        <w:spacing w:beforeLines="70" w:afterLines="70"/>
        <w:ind w:left="630" w:leftChars="300" w:firstLine="420" w:firstLineChars="200"/>
      </w:pPr>
      <w:r>
        <w:rPr>
          <w:rFonts w:hint="eastAsia"/>
        </w:rPr>
        <w:t>宜通过互联互通的跨职能信息系统，获取火锅供应链、加工制作、消费服务等各环节的必要数据信息，提升需求预测的精准度，实现火锅制作与消费的各环节协同作用和快速响应。</w:t>
      </w:r>
    </w:p>
    <w:p w14:paraId="580D6604">
      <w:pPr>
        <w:pStyle w:val="12"/>
        <w:numPr>
          <w:ilvl w:val="1"/>
          <w:numId w:val="0"/>
        </w:numPr>
        <w:spacing w:beforeLines="70" w:afterLines="70"/>
        <w:ind w:firstLine="630" w:firstLineChars="300"/>
        <w:outlineLvl w:val="1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4.7  供需平衡，多方共赢</w:t>
      </w:r>
    </w:p>
    <w:bookmarkEnd w:id="17"/>
    <w:p w14:paraId="1587A930">
      <w:pPr>
        <w:pStyle w:val="12"/>
        <w:numPr>
          <w:ilvl w:val="1"/>
          <w:numId w:val="0"/>
        </w:numPr>
        <w:spacing w:beforeLines="70" w:afterLines="70"/>
        <w:ind w:left="630" w:leftChars="300" w:firstLine="420" w:firstLineChars="200"/>
      </w:pPr>
      <w:r>
        <w:rPr>
          <w:rFonts w:hint="eastAsia"/>
        </w:rPr>
        <w:t>宜通过信息化技术的应用，提高供应链信息透明度，推进供需双方的信息交流与利用，平衡供需双方资源的统一集成和综合协调，促进上下游企业多方共赢。</w:t>
      </w:r>
    </w:p>
    <w:p w14:paraId="503711E2">
      <w:pPr>
        <w:pStyle w:val="12"/>
        <w:numPr>
          <w:ilvl w:val="1"/>
          <w:numId w:val="0"/>
        </w:numPr>
        <w:spacing w:beforeLines="70" w:afterLines="70"/>
        <w:ind w:firstLine="630" w:firstLineChars="300"/>
        <w:outlineLvl w:val="1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4.8  技术引导，高效集约</w:t>
      </w:r>
    </w:p>
    <w:p w14:paraId="7D8823F9">
      <w:pPr>
        <w:pStyle w:val="12"/>
        <w:numPr>
          <w:ilvl w:val="1"/>
          <w:numId w:val="0"/>
        </w:numPr>
        <w:spacing w:beforeLines="70" w:afterLines="70"/>
        <w:ind w:firstLine="1050" w:firstLineChars="500"/>
        <w:rPr>
          <w:rFonts w:hAnsi="宋体"/>
        </w:rPr>
      </w:pPr>
      <w:r>
        <w:rPr>
          <w:rFonts w:hint="eastAsia" w:hAnsi="宋体"/>
        </w:rPr>
        <w:t>宜引入AI技术，利用先进的送餐机器人和其他智能技术，提升餐厅运营效率和服务水平。</w:t>
      </w:r>
    </w:p>
    <w:p w14:paraId="5DF46D7D">
      <w:pPr>
        <w:pStyle w:val="12"/>
        <w:numPr>
          <w:ilvl w:val="1"/>
          <w:numId w:val="0"/>
        </w:numPr>
        <w:spacing w:beforeLines="70" w:afterLines="70"/>
        <w:ind w:firstLine="630" w:firstLineChars="300"/>
        <w:outlineLvl w:val="1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4.9  宣传引导，氛围营造</w:t>
      </w:r>
    </w:p>
    <w:p w14:paraId="5E15E480">
      <w:pPr>
        <w:pStyle w:val="12"/>
        <w:numPr>
          <w:ilvl w:val="1"/>
          <w:numId w:val="0"/>
        </w:numPr>
        <w:spacing w:beforeLines="70" w:afterLines="70"/>
        <w:ind w:left="630" w:leftChars="300" w:firstLine="420" w:firstLineChars="200"/>
        <w:rPr>
          <w:rFonts w:hAnsi="宋体"/>
        </w:rPr>
      </w:pPr>
      <w:r>
        <w:rPr>
          <w:rFonts w:hint="eastAsia" w:hAnsi="宋体"/>
        </w:rPr>
        <w:t>倡导文明、健康、节约消费方式，在火锅就餐场所醒目位置设置、标注“文明用餐”“光盘行动”“反食品浪费”等宣传画、标识、标牌，弘扬节约、反对浪费的优良传统。</w:t>
      </w:r>
    </w:p>
    <w:p w14:paraId="562C64FB">
      <w:pPr>
        <w:pStyle w:val="10"/>
        <w:numPr>
          <w:ilvl w:val="0"/>
          <w:numId w:val="0"/>
        </w:numPr>
        <w:spacing w:before="312" w:after="312"/>
        <w:ind w:firstLine="630" w:firstLineChars="300"/>
        <w:outlineLvl w:val="0"/>
        <w:rPr>
          <w:szCs w:val="22"/>
        </w:rPr>
      </w:pPr>
      <w:bookmarkStart w:id="19" w:name="_Toc19941"/>
      <w:bookmarkStart w:id="20" w:name="_Toc30939"/>
      <w:r>
        <w:rPr>
          <w:rFonts w:hint="eastAsia"/>
        </w:rPr>
        <w:t>5  采购贮存</w:t>
      </w:r>
      <w:bookmarkEnd w:id="19"/>
      <w:bookmarkEnd w:id="20"/>
    </w:p>
    <w:p w14:paraId="6DA94F26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</w:pPr>
      <w:r>
        <w:rPr>
          <w:rFonts w:hint="eastAsia"/>
        </w:rPr>
        <w:t>5.1  采购</w:t>
      </w:r>
    </w:p>
    <w:p w14:paraId="7A6E9981">
      <w:pPr>
        <w:pStyle w:val="15"/>
        <w:numPr>
          <w:ilvl w:val="2"/>
          <w:numId w:val="0"/>
        </w:numPr>
        <w:spacing w:before="156" w:after="156"/>
        <w:ind w:left="840" w:leftChars="300" w:hanging="210" w:hangingChars="100"/>
        <w:outlineLvl w:val="2"/>
        <w:rPr>
          <w:rFonts w:hint="eastAsia" w:ascii="宋体" w:hAnsi="宋体" w:eastAsia="宋体" w:cs="宋体"/>
          <w:lang w:eastAsia="zh-CN"/>
        </w:rPr>
      </w:pPr>
      <w:r>
        <w:rPr>
          <w:rFonts w:hint="eastAsia" w:hAnsi="黑体" w:cs="黑体"/>
        </w:rPr>
        <w:t xml:space="preserve">5.1.1  </w:t>
      </w:r>
      <w:r>
        <w:rPr>
          <w:rFonts w:hint="eastAsia" w:ascii="宋体" w:hAnsi="宋体" w:eastAsia="宋体" w:cs="宋体"/>
        </w:rPr>
        <w:t>应做到精准采购、集中管控。</w:t>
      </w:r>
      <w:r>
        <w:rPr>
          <w:rFonts w:hint="eastAsia" w:ascii="宋体" w:hAnsi="宋体" w:eastAsia="宋体" w:cs="宋体"/>
          <w:lang w:eastAsia="zh-CN"/>
        </w:rPr>
        <w:t>动物源性肉品有检疫、检验合格证明，不采购死因不明的畜禽肉。</w:t>
      </w:r>
    </w:p>
    <w:p w14:paraId="3C5F0E33">
      <w:pPr>
        <w:pStyle w:val="15"/>
        <w:numPr>
          <w:ilvl w:val="2"/>
          <w:numId w:val="0"/>
        </w:numPr>
        <w:spacing w:before="156" w:after="156"/>
        <w:ind w:left="630" w:leftChars="300"/>
        <w:rPr>
          <w:rFonts w:ascii="宋体" w:hAnsi="宋体" w:eastAsia="宋体" w:cs="宋体"/>
        </w:rPr>
      </w:pPr>
      <w:bookmarkStart w:id="21" w:name="_Toc26006"/>
      <w:r>
        <w:rPr>
          <w:rFonts w:hint="eastAsia" w:hAnsi="黑体" w:cs="黑体"/>
        </w:rPr>
        <w:t xml:space="preserve">5.1.2 </w:t>
      </w:r>
      <w:r>
        <w:rPr>
          <w:rFonts w:hint="eastAsia" w:ascii="宋体" w:hAnsi="宋体" w:eastAsia="宋体" w:cs="宋体"/>
        </w:rPr>
        <w:t xml:space="preserve"> 食材采购应建立供应商档案，对供应商进行分类分级管理，制定差异化评价标准，动态调整管理级别。</w:t>
      </w:r>
    </w:p>
    <w:bookmarkEnd w:id="21"/>
    <w:p w14:paraId="0EB7F211">
      <w:pPr>
        <w:pStyle w:val="15"/>
        <w:numPr>
          <w:ilvl w:val="2"/>
          <w:numId w:val="0"/>
        </w:numPr>
        <w:spacing w:before="156" w:after="156"/>
        <w:ind w:left="630" w:leftChars="300"/>
        <w:rPr>
          <w:rFonts w:ascii="宋体" w:hAnsi="宋体" w:eastAsia="宋体" w:cs="宋体"/>
        </w:rPr>
      </w:pPr>
      <w:r>
        <w:rPr>
          <w:rFonts w:hint="eastAsia" w:hAnsi="黑体" w:cs="黑体"/>
        </w:rPr>
        <w:t xml:space="preserve">5.1.3 </w:t>
      </w:r>
      <w:r>
        <w:rPr>
          <w:rFonts w:hint="eastAsia" w:ascii="宋体" w:hAnsi="宋体" w:eastAsia="宋体" w:cs="宋体"/>
        </w:rPr>
        <w:t xml:space="preserve"> 食材采购应建立以销定进原则。动态掌握每天就餐人数和食材采购计划，做到按就餐人数、消费需求决定采购食材的品类、数量和时间。</w:t>
      </w:r>
    </w:p>
    <w:p w14:paraId="70047D17">
      <w:pPr>
        <w:pStyle w:val="15"/>
        <w:numPr>
          <w:ilvl w:val="2"/>
          <w:numId w:val="0"/>
        </w:numPr>
        <w:spacing w:before="156" w:after="156"/>
        <w:ind w:firstLine="630" w:firstLineChars="300"/>
        <w:rPr>
          <w:rFonts w:ascii="宋体" w:hAnsi="宋体" w:eastAsia="宋体" w:cs="宋体"/>
        </w:rPr>
      </w:pPr>
      <w:r>
        <w:rPr>
          <w:rFonts w:hint="eastAsia" w:hAnsi="黑体" w:cs="黑体"/>
        </w:rPr>
        <w:t xml:space="preserve">5.1.4 </w:t>
      </w:r>
      <w:r>
        <w:rPr>
          <w:rFonts w:hint="eastAsia" w:ascii="宋体" w:hAnsi="宋体" w:eastAsia="宋体" w:cs="宋体"/>
        </w:rPr>
        <w:t xml:space="preserve"> 鼓励采用第三方采购平台，对接线上线下采购渠道，提高采购精准度，降低采购成本。</w:t>
      </w:r>
    </w:p>
    <w:p w14:paraId="7A989079">
      <w:pPr>
        <w:pStyle w:val="15"/>
        <w:numPr>
          <w:ilvl w:val="2"/>
          <w:numId w:val="0"/>
        </w:numPr>
        <w:spacing w:before="156" w:after="156"/>
        <w:ind w:left="630" w:leftChars="300"/>
        <w:rPr>
          <w:rFonts w:ascii="宋体" w:hAnsi="宋体" w:eastAsia="宋体" w:cs="宋体"/>
        </w:rPr>
      </w:pPr>
      <w:r>
        <w:rPr>
          <w:rFonts w:hint="eastAsia" w:hAnsi="黑体" w:cs="黑体"/>
        </w:rPr>
        <w:t xml:space="preserve">5.1.5  </w:t>
      </w:r>
      <w:r>
        <w:rPr>
          <w:rFonts w:hint="eastAsia" w:ascii="宋体" w:hAnsi="宋体" w:eastAsia="宋体" w:cs="宋体"/>
        </w:rPr>
        <w:t>宜通过自建基地、共建基地、源头采购、多方合作等方式建立标准化采购模式，提升食材质量保证能力。</w:t>
      </w:r>
    </w:p>
    <w:p w14:paraId="61B703C7">
      <w:pPr>
        <w:pStyle w:val="15"/>
        <w:numPr>
          <w:ilvl w:val="2"/>
          <w:numId w:val="0"/>
        </w:numPr>
        <w:spacing w:before="156" w:after="156"/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hAnsi="黑体" w:cs="黑体"/>
        </w:rPr>
        <w:t xml:space="preserve">5.1.6  </w:t>
      </w:r>
      <w:r>
        <w:rPr>
          <w:rFonts w:hint="eastAsia" w:ascii="宋体" w:hAnsi="宋体" w:eastAsia="宋体" w:cs="宋体"/>
        </w:rPr>
        <w:t>宜制定食材的采购质量控制标准和验证标准，通过数量和质量监控验证合格率。</w:t>
      </w:r>
    </w:p>
    <w:p w14:paraId="537E51C0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</w:pPr>
      <w:r>
        <w:rPr>
          <w:rFonts w:hint="eastAsia"/>
        </w:rPr>
        <w:t>5.2  贮存</w:t>
      </w:r>
    </w:p>
    <w:p w14:paraId="752346A0">
      <w:pPr>
        <w:pStyle w:val="15"/>
        <w:numPr>
          <w:ilvl w:val="2"/>
          <w:numId w:val="0"/>
        </w:numPr>
        <w:spacing w:before="156" w:after="156"/>
        <w:ind w:firstLine="630" w:firstLineChars="300"/>
        <w:outlineLvl w:val="2"/>
        <w:rPr>
          <w:rFonts w:ascii="宋体" w:hAnsi="宋体" w:eastAsia="宋体" w:cs="宋体"/>
        </w:rPr>
      </w:pPr>
      <w:bookmarkStart w:id="22" w:name="_Toc28571"/>
      <w:r>
        <w:rPr>
          <w:rFonts w:hint="eastAsia" w:hAnsi="黑体" w:cs="黑体"/>
        </w:rPr>
        <w:t xml:space="preserve">5.2.1  </w:t>
      </w:r>
      <w:r>
        <w:rPr>
          <w:rFonts w:hint="eastAsia" w:ascii="宋体" w:hAnsi="宋体" w:eastAsia="宋体" w:cs="宋体"/>
        </w:rPr>
        <w:t>建立必备的冷藏、冷冻、分类分区等储存设施设备。</w:t>
      </w:r>
      <w:bookmarkEnd w:id="22"/>
    </w:p>
    <w:p w14:paraId="7B16F453">
      <w:pPr>
        <w:pStyle w:val="15"/>
        <w:numPr>
          <w:ilvl w:val="2"/>
          <w:numId w:val="0"/>
        </w:numPr>
        <w:spacing w:before="156" w:after="156"/>
        <w:ind w:left="630" w:leftChars="300"/>
        <w:rPr>
          <w:rFonts w:ascii="宋体" w:hAnsi="宋体" w:eastAsia="宋体" w:cs="宋体"/>
        </w:rPr>
      </w:pPr>
      <w:r>
        <w:rPr>
          <w:rFonts w:hint="eastAsia" w:hAnsi="黑体" w:cs="黑体"/>
        </w:rPr>
        <w:t xml:space="preserve">5.2.2  </w:t>
      </w:r>
      <w:r>
        <w:rPr>
          <w:rFonts w:hint="eastAsia" w:ascii="宋体" w:hAnsi="宋体" w:eastAsia="宋体" w:cs="宋体"/>
        </w:rPr>
        <w:t>应加强库存管理，根据正常运转周期内火锅企业供应链全链条信息，确定不同原辅料的周转库存及安全库存，设定最低库存标准，降低企业库存率，减少库存成本。</w:t>
      </w:r>
    </w:p>
    <w:p w14:paraId="03F0A2EE">
      <w:pPr>
        <w:pStyle w:val="15"/>
        <w:numPr>
          <w:ilvl w:val="2"/>
          <w:numId w:val="0"/>
        </w:numPr>
        <w:spacing w:before="156" w:after="156"/>
        <w:ind w:left="630" w:leftChars="300"/>
        <w:rPr>
          <w:rFonts w:ascii="宋体" w:hAnsi="宋体" w:eastAsia="宋体" w:cs="宋体"/>
        </w:rPr>
      </w:pPr>
      <w:bookmarkStart w:id="23" w:name="_Toc8343"/>
      <w:r>
        <w:rPr>
          <w:rFonts w:hint="eastAsia" w:hAnsi="黑体" w:cs="黑体"/>
        </w:rPr>
        <w:t xml:space="preserve">5.2.3  </w:t>
      </w:r>
      <w:r>
        <w:rPr>
          <w:rFonts w:hint="eastAsia" w:ascii="宋体" w:hAnsi="宋体" w:eastAsia="宋体" w:cs="宋体"/>
        </w:rPr>
        <w:t>食材、货品分类贮存，应强化温湿度控制，减少污染或温差造成食材损坏，避免食材变质浪费。</w:t>
      </w:r>
    </w:p>
    <w:p w14:paraId="3322BB05">
      <w:pPr>
        <w:pStyle w:val="15"/>
        <w:numPr>
          <w:ilvl w:val="2"/>
          <w:numId w:val="0"/>
        </w:numPr>
        <w:spacing w:before="156" w:after="156"/>
        <w:ind w:firstLine="630" w:firstLineChars="300"/>
        <w:outlineLvl w:val="2"/>
        <w:rPr>
          <w:rFonts w:hint="eastAsia" w:ascii="宋体" w:hAnsi="宋体" w:eastAsia="宋体" w:cs="宋体"/>
        </w:rPr>
      </w:pPr>
      <w:r>
        <w:rPr>
          <w:rFonts w:hint="eastAsia" w:hAnsi="黑体" w:cs="黑体"/>
        </w:rPr>
        <w:t xml:space="preserve">5.2.4  </w:t>
      </w:r>
      <w:r>
        <w:rPr>
          <w:rFonts w:hint="eastAsia" w:ascii="宋体" w:hAnsi="宋体" w:eastAsia="宋体" w:cs="宋体"/>
        </w:rPr>
        <w:t>定期清查库存食材，减少损耗。</w:t>
      </w:r>
    </w:p>
    <w:p w14:paraId="31F6DD45">
      <w:pPr>
        <w:pStyle w:val="9"/>
        <w:ind w:firstLine="630" w:firstLineChars="300"/>
        <w:rPr>
          <w:rFonts w:hint="default" w:eastAsiaTheme="minorEastAsia"/>
          <w:lang w:val="en-US" w:eastAsia="zh-CN"/>
        </w:rPr>
      </w:pPr>
      <w:r>
        <w:rPr>
          <w:rFonts w:hint="eastAsia" w:hAnsi="黑体" w:cs="黑体"/>
        </w:rPr>
        <w:t>5.</w:t>
      </w:r>
      <w:r>
        <w:rPr>
          <w:rFonts w:hint="eastAsia" w:hAnsi="黑体" w:cs="黑体"/>
          <w:lang w:val="en-US" w:eastAsia="zh-CN"/>
        </w:rPr>
        <w:t>2</w:t>
      </w:r>
      <w:r>
        <w:rPr>
          <w:rFonts w:hint="eastAsia" w:hAnsi="黑体" w:cs="黑体"/>
        </w:rPr>
        <w:t>.</w:t>
      </w:r>
      <w:r>
        <w:rPr>
          <w:rFonts w:hint="eastAsia" w:hAnsi="黑体" w:cs="黑体"/>
          <w:lang w:val="en-US" w:eastAsia="zh-CN"/>
        </w:rPr>
        <w:t xml:space="preserve">5 不给暂养动物注射、饮用增加动物出水率的药物或其他化学物质。 </w:t>
      </w:r>
    </w:p>
    <w:p w14:paraId="3B441CF9">
      <w:pPr>
        <w:pStyle w:val="9"/>
      </w:pPr>
    </w:p>
    <w:p w14:paraId="6F92BB8E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</w:pPr>
      <w:r>
        <w:rPr>
          <w:rFonts w:hint="eastAsia"/>
        </w:rPr>
        <w:t>5.3  物流</w:t>
      </w:r>
    </w:p>
    <w:p w14:paraId="4DAC8190">
      <w:pPr>
        <w:pStyle w:val="15"/>
        <w:numPr>
          <w:ilvl w:val="2"/>
          <w:numId w:val="0"/>
        </w:numPr>
        <w:spacing w:before="156" w:after="156"/>
        <w:ind w:firstLine="630" w:firstLineChars="300"/>
        <w:rPr>
          <w:rFonts w:ascii="宋体" w:hAnsi="宋体" w:eastAsia="宋体" w:cs="宋体"/>
        </w:rPr>
      </w:pPr>
      <w:r>
        <w:rPr>
          <w:rFonts w:hint="eastAsia" w:hAnsi="黑体" w:cs="黑体"/>
        </w:rPr>
        <w:t xml:space="preserve">5.3.1  </w:t>
      </w:r>
      <w:r>
        <w:rPr>
          <w:rFonts w:hint="eastAsia" w:ascii="宋体" w:hAnsi="宋体" w:eastAsia="宋体" w:cs="宋体"/>
        </w:rPr>
        <w:t>宜根据货物运输量考虑货物周转量，统筹设计运输、配送路线，降低物流周转成本。</w:t>
      </w:r>
    </w:p>
    <w:p w14:paraId="240FD557">
      <w:pPr>
        <w:pStyle w:val="15"/>
        <w:numPr>
          <w:ilvl w:val="2"/>
          <w:numId w:val="0"/>
        </w:numPr>
        <w:spacing w:before="156" w:after="156"/>
        <w:ind w:firstLine="630" w:firstLineChars="300"/>
        <w:rPr>
          <w:rFonts w:ascii="宋体" w:hAnsi="宋体" w:eastAsia="宋体" w:cs="宋体"/>
        </w:rPr>
      </w:pPr>
      <w:r>
        <w:rPr>
          <w:rFonts w:hint="eastAsia" w:hAnsi="黑体" w:cs="黑体"/>
        </w:rPr>
        <w:t xml:space="preserve">5.3.2 </w:t>
      </w:r>
      <w:r>
        <w:rPr>
          <w:rFonts w:hint="eastAsia" w:ascii="宋体" w:hAnsi="宋体" w:eastAsia="宋体" w:cs="宋体"/>
        </w:rPr>
        <w:t xml:space="preserve"> 宜建立冷链物流、保温配送操作标准并执行，提高运输、配送保障能力及效率。</w:t>
      </w:r>
    </w:p>
    <w:p w14:paraId="51D223C3">
      <w:pPr>
        <w:pStyle w:val="15"/>
        <w:numPr>
          <w:ilvl w:val="2"/>
          <w:numId w:val="0"/>
        </w:numPr>
        <w:spacing w:before="156" w:after="156"/>
        <w:ind w:left="630" w:leftChars="300"/>
        <w:rPr>
          <w:rFonts w:ascii="宋体" w:hAnsi="宋体" w:eastAsia="宋体" w:cs="宋体"/>
        </w:rPr>
      </w:pPr>
      <w:r>
        <w:rPr>
          <w:rFonts w:hint="eastAsia" w:hAnsi="黑体" w:cs="黑体"/>
        </w:rPr>
        <w:t xml:space="preserve">5.3.3  </w:t>
      </w:r>
      <w:r>
        <w:rPr>
          <w:rFonts w:hint="eastAsia" w:ascii="宋体" w:hAnsi="宋体" w:eastAsia="宋体" w:cs="宋体"/>
        </w:rPr>
        <w:t>由供应商提供运输服务时，宜将运输货损率、及时交付率等结果作为供应商历史绩效进行评价。</w:t>
      </w:r>
    </w:p>
    <w:bookmarkEnd w:id="23"/>
    <w:p w14:paraId="39F476ED">
      <w:pPr>
        <w:pStyle w:val="10"/>
        <w:numPr>
          <w:ilvl w:val="0"/>
          <w:numId w:val="0"/>
        </w:numPr>
        <w:spacing w:before="312" w:after="312"/>
        <w:ind w:firstLine="630" w:firstLineChars="300"/>
        <w:outlineLvl w:val="0"/>
        <w:rPr>
          <w:szCs w:val="22"/>
        </w:rPr>
      </w:pPr>
      <w:bookmarkStart w:id="24" w:name="_Toc20720"/>
      <w:bookmarkStart w:id="25" w:name="_Toc4840"/>
      <w:r>
        <w:rPr>
          <w:rFonts w:hint="eastAsia"/>
        </w:rPr>
        <w:t>6  加工制作</w:t>
      </w:r>
      <w:bookmarkEnd w:id="24"/>
      <w:bookmarkEnd w:id="25"/>
    </w:p>
    <w:p w14:paraId="4B07AA93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</w:pPr>
      <w:r>
        <w:rPr>
          <w:rFonts w:hint="eastAsia"/>
        </w:rPr>
        <w:t>6.1  底料加工</w:t>
      </w:r>
    </w:p>
    <w:p w14:paraId="50A22B77">
      <w:pPr>
        <w:pStyle w:val="15"/>
        <w:numPr>
          <w:ilvl w:val="2"/>
          <w:numId w:val="0"/>
        </w:numPr>
        <w:spacing w:beforeLines="60" w:afterLines="60"/>
        <w:ind w:firstLine="630" w:firstLineChars="300"/>
        <w:rPr>
          <w:rFonts w:ascii="宋体" w:hAnsi="宋体" w:eastAsia="宋体" w:cs="宋体"/>
        </w:rPr>
      </w:pPr>
      <w:r>
        <w:rPr>
          <w:rFonts w:hint="eastAsia" w:hAnsi="黑体" w:cs="黑体"/>
        </w:rPr>
        <w:t xml:space="preserve">6.1.1  </w:t>
      </w:r>
      <w:r>
        <w:rPr>
          <w:rFonts w:hint="eastAsia" w:ascii="宋体" w:hAnsi="宋体" w:eastAsia="宋体" w:cs="宋体"/>
        </w:rPr>
        <w:t>制定和优化火锅底料的质量标准与制作工艺流程标准，设专人监督落实，提高生产效率。</w:t>
      </w:r>
    </w:p>
    <w:p w14:paraId="34960B87">
      <w:pPr>
        <w:pStyle w:val="15"/>
        <w:numPr>
          <w:ilvl w:val="2"/>
          <w:numId w:val="0"/>
        </w:numPr>
        <w:spacing w:beforeLines="60" w:afterLines="60"/>
        <w:ind w:firstLine="630" w:firstLineChars="300"/>
        <w:outlineLvl w:val="2"/>
        <w:rPr>
          <w:rFonts w:ascii="宋体" w:hAnsi="宋体" w:eastAsia="宋体" w:cs="宋体"/>
        </w:rPr>
      </w:pPr>
      <w:r>
        <w:rPr>
          <w:rFonts w:hint="eastAsia" w:hAnsi="黑体" w:cs="黑体"/>
        </w:rPr>
        <w:t xml:space="preserve">6.1.2  </w:t>
      </w:r>
      <w:r>
        <w:rPr>
          <w:rFonts w:hint="eastAsia" w:ascii="宋体" w:hAnsi="宋体" w:eastAsia="宋体" w:cs="宋体"/>
        </w:rPr>
        <w:t>选用优质的香料、调料，避免成品不合格，造成浪费。</w:t>
      </w:r>
    </w:p>
    <w:p w14:paraId="13545C6A">
      <w:pPr>
        <w:pStyle w:val="15"/>
        <w:numPr>
          <w:ilvl w:val="2"/>
          <w:numId w:val="0"/>
        </w:numPr>
        <w:spacing w:beforeLines="60" w:afterLines="60"/>
        <w:ind w:left="630" w:leftChars="300"/>
        <w:rPr>
          <w:rFonts w:hAnsi="宋体" w:eastAsia="宋体" w:cs="宋体"/>
        </w:rPr>
      </w:pPr>
      <w:r>
        <w:rPr>
          <w:rFonts w:hint="eastAsia" w:hAnsi="黑体" w:cs="黑体"/>
        </w:rPr>
        <w:t xml:space="preserve">6.1.3  </w:t>
      </w:r>
      <w:r>
        <w:rPr>
          <w:rFonts w:hint="eastAsia" w:ascii="宋体" w:hAnsi="宋体" w:eastAsia="宋体" w:cs="宋体"/>
        </w:rPr>
        <w:t>宜建立中央厨房、采用共享厨房、标准化生产车间等模式，集中加工、统一配送等形式，提高底料的出品率和生产效率。</w:t>
      </w:r>
    </w:p>
    <w:p w14:paraId="2CEBA1DA">
      <w:pPr>
        <w:pStyle w:val="15"/>
        <w:numPr>
          <w:ilvl w:val="2"/>
          <w:numId w:val="0"/>
        </w:numPr>
        <w:spacing w:beforeLines="60" w:afterLines="60"/>
        <w:ind w:firstLine="630" w:firstLineChars="300"/>
        <w:rPr>
          <w:rFonts w:hAnsi="宋体" w:eastAsia="宋体" w:cs="宋体"/>
        </w:rPr>
      </w:pPr>
      <w:r>
        <w:rPr>
          <w:rFonts w:hint="eastAsia" w:hAnsi="黑体" w:cs="黑体"/>
        </w:rPr>
        <w:t xml:space="preserve">6.1.4  </w:t>
      </w:r>
      <w:r>
        <w:rPr>
          <w:rFonts w:hint="eastAsia" w:ascii="宋体" w:hAnsi="宋体" w:eastAsia="宋体" w:cs="宋体"/>
        </w:rPr>
        <w:t>集中保管剩余香料、调料等原料，防止污染浪费，未拆封的原料应及时送回储藏区。</w:t>
      </w:r>
    </w:p>
    <w:p w14:paraId="6537D7A3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</w:pPr>
      <w:r>
        <w:rPr>
          <w:rFonts w:hint="eastAsia"/>
        </w:rPr>
        <w:t>6.2  菜品加工</w:t>
      </w:r>
    </w:p>
    <w:p w14:paraId="7530F2B6">
      <w:pPr>
        <w:pStyle w:val="15"/>
        <w:numPr>
          <w:ilvl w:val="2"/>
          <w:numId w:val="0"/>
        </w:numPr>
        <w:spacing w:before="156" w:after="156"/>
        <w:ind w:left="630" w:leftChars="300"/>
      </w:pPr>
      <w:r>
        <w:rPr>
          <w:rFonts w:hint="eastAsia" w:hAnsi="黑体" w:cs="黑体"/>
        </w:rPr>
        <w:t xml:space="preserve">6.2.1  </w:t>
      </w:r>
      <w:r>
        <w:rPr>
          <w:rFonts w:hint="eastAsia" w:ascii="宋体" w:hAnsi="宋体" w:eastAsia="宋体" w:cs="宋体"/>
        </w:rPr>
        <w:t>宜建立和优化火锅食材的选用标准与加工工艺流程标准，并设专人监督落实，提高生产效率。</w:t>
      </w:r>
    </w:p>
    <w:p w14:paraId="573D63CD">
      <w:pPr>
        <w:pStyle w:val="16"/>
        <w:numPr>
          <w:ilvl w:val="2"/>
          <w:numId w:val="0"/>
        </w:numPr>
        <w:spacing w:before="156" w:after="156"/>
        <w:ind w:firstLine="630" w:firstLineChars="300"/>
        <w:rPr>
          <w:rFonts w:asciiTheme="minorEastAsia" w:hAnsiTheme="minorEastAsia" w:eastAsiaTheme="minorEastAsia" w:cstheme="minorEastAsia"/>
        </w:rPr>
      </w:pPr>
      <w:r>
        <w:rPr>
          <w:rFonts w:hint="eastAsia" w:hAnsi="黑体" w:cs="黑体"/>
        </w:rPr>
        <w:t xml:space="preserve">6.2.2  </w:t>
      </w:r>
      <w:r>
        <w:rPr>
          <w:rFonts w:hint="eastAsia" w:asciiTheme="minorEastAsia" w:hAnsiTheme="minorEastAsia" w:eastAsiaTheme="minorEastAsia" w:cstheme="minorEastAsia"/>
        </w:rPr>
        <w:t>按标准选用和加工食材，避免成品不合格，造成浪费。</w:t>
      </w:r>
    </w:p>
    <w:p w14:paraId="75594AEC">
      <w:pPr>
        <w:pStyle w:val="15"/>
        <w:numPr>
          <w:ilvl w:val="2"/>
          <w:numId w:val="0"/>
        </w:numPr>
        <w:spacing w:before="156" w:after="156"/>
        <w:ind w:left="630" w:leftChars="300"/>
      </w:pPr>
      <w:r>
        <w:rPr>
          <w:rFonts w:hint="eastAsia" w:hAnsi="黑体" w:cs="黑体"/>
        </w:rPr>
        <w:t xml:space="preserve">6.2.3  </w:t>
      </w:r>
      <w:r>
        <w:rPr>
          <w:rFonts w:hint="eastAsia" w:ascii="宋体" w:hAnsi="宋体" w:eastAsia="宋体" w:cs="宋体"/>
        </w:rPr>
        <w:t>宜建立食材加工基地。建立中央厨房、采用共享厨房等模式，集中初加工、统一配送等形式，减少食材损耗。</w:t>
      </w:r>
    </w:p>
    <w:p w14:paraId="3E71EDAA">
      <w:pPr>
        <w:pStyle w:val="15"/>
        <w:numPr>
          <w:ilvl w:val="2"/>
          <w:numId w:val="0"/>
        </w:numPr>
        <w:spacing w:before="156" w:after="156"/>
        <w:ind w:left="630" w:leftChars="300"/>
      </w:pPr>
      <w:r>
        <w:rPr>
          <w:rFonts w:hint="eastAsia" w:hAnsi="黑体" w:cs="黑体"/>
        </w:rPr>
        <w:t xml:space="preserve">6.2.4  </w:t>
      </w:r>
      <w:r>
        <w:rPr>
          <w:rFonts w:hint="eastAsia" w:ascii="宋体" w:hAnsi="宋体" w:eastAsia="宋体" w:cs="宋体"/>
        </w:rPr>
        <w:t>需要解冻的食材宜使用冷藏解冻方式解冻，冷水解冻时不宜采用水龙头冲洗方式，必须冲洗时应注意控制出水量。</w:t>
      </w:r>
    </w:p>
    <w:p w14:paraId="3B774516">
      <w:pPr>
        <w:pStyle w:val="15"/>
        <w:numPr>
          <w:ilvl w:val="2"/>
          <w:numId w:val="0"/>
        </w:numPr>
        <w:spacing w:before="156" w:after="156"/>
        <w:ind w:left="630" w:leftChars="300"/>
      </w:pPr>
      <w:r>
        <w:rPr>
          <w:rFonts w:hint="eastAsia" w:hAnsi="黑体" w:cs="黑体"/>
        </w:rPr>
        <w:t xml:space="preserve">6.2.5  </w:t>
      </w:r>
      <w:r>
        <w:rPr>
          <w:rFonts w:hint="eastAsia" w:ascii="宋体" w:hAnsi="宋体" w:eastAsia="宋体" w:cs="宋体"/>
        </w:rPr>
        <w:t>宜通过预估销量的方式，合理安排预处理食材的数量和频次（如解冻食材），遵循少量多次的原则。</w:t>
      </w:r>
    </w:p>
    <w:p w14:paraId="37AAB183">
      <w:pPr>
        <w:pStyle w:val="15"/>
        <w:numPr>
          <w:ilvl w:val="2"/>
          <w:numId w:val="0"/>
        </w:numPr>
        <w:spacing w:before="156" w:after="156"/>
        <w:ind w:firstLine="630" w:firstLineChars="300"/>
      </w:pPr>
      <w:r>
        <w:rPr>
          <w:rFonts w:hint="eastAsia" w:hAnsi="黑体" w:cs="黑体"/>
        </w:rPr>
        <w:t xml:space="preserve">6.2.6  </w:t>
      </w:r>
      <w:r>
        <w:rPr>
          <w:rFonts w:hint="eastAsia" w:ascii="宋体" w:hAnsi="宋体" w:eastAsia="宋体" w:cs="宋体"/>
        </w:rPr>
        <w:t>粗加工应合理利用食材，物尽其用，符合切配、烫涮的要求，提高食材的净料率。</w:t>
      </w:r>
    </w:p>
    <w:p w14:paraId="436774E5">
      <w:pPr>
        <w:pStyle w:val="15"/>
        <w:numPr>
          <w:ilvl w:val="2"/>
          <w:numId w:val="0"/>
        </w:numPr>
        <w:spacing w:before="156" w:after="156"/>
        <w:ind w:firstLine="630" w:firstLineChars="300"/>
        <w:outlineLvl w:val="2"/>
        <w:rPr>
          <w:rFonts w:hint="eastAsia" w:ascii="宋体" w:hAnsi="宋体" w:eastAsia="宋体" w:cs="宋体"/>
        </w:rPr>
      </w:pPr>
      <w:r>
        <w:rPr>
          <w:rFonts w:hint="eastAsia" w:hAnsi="黑体" w:cs="黑体"/>
        </w:rPr>
        <w:t xml:space="preserve">6.2.7  </w:t>
      </w:r>
      <w:r>
        <w:rPr>
          <w:rFonts w:hint="eastAsia" w:ascii="宋体" w:hAnsi="宋体" w:eastAsia="宋体" w:cs="宋体"/>
        </w:rPr>
        <w:t>刀工切配应严格按照成形规格和配菜数量执行，提高食材的出成率。</w:t>
      </w:r>
    </w:p>
    <w:p w14:paraId="0E4B6D60">
      <w:pPr>
        <w:pStyle w:val="9"/>
        <w:rPr>
          <w:rFonts w:hint="default" w:eastAsia="宋体"/>
          <w:lang w:val="en-US" w:eastAsia="zh-CN"/>
        </w:rPr>
      </w:pPr>
      <w:r>
        <w:rPr>
          <w:rFonts w:hint="eastAsia" w:hAnsi="宋体" w:eastAsia="宋体" w:cs="宋体"/>
          <w:lang w:val="en-US" w:eastAsia="zh-CN"/>
        </w:rPr>
        <w:t xml:space="preserve">  6.2.8  原切肉不添加任何食品添加剂。</w:t>
      </w:r>
    </w:p>
    <w:p w14:paraId="228C5734">
      <w:pPr>
        <w:pStyle w:val="10"/>
        <w:numPr>
          <w:ilvl w:val="0"/>
          <w:numId w:val="0"/>
        </w:numPr>
        <w:spacing w:before="312" w:after="312"/>
        <w:ind w:firstLine="630" w:firstLineChars="300"/>
        <w:outlineLvl w:val="0"/>
      </w:pPr>
      <w:bookmarkStart w:id="26" w:name="_Toc23665"/>
      <w:bookmarkStart w:id="27" w:name="_Toc31250"/>
      <w:r>
        <w:rPr>
          <w:rFonts w:hint="eastAsia"/>
        </w:rPr>
        <w:t>7  消费服务</w:t>
      </w:r>
      <w:bookmarkEnd w:id="26"/>
      <w:bookmarkEnd w:id="27"/>
      <w:bookmarkStart w:id="28" w:name="_Toc15707"/>
    </w:p>
    <w:p w14:paraId="04A00D4D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  <w:rPr>
          <w:rFonts w:ascii="宋体" w:hAnsi="宋体" w:eastAsia="宋体" w:cs="宋体"/>
        </w:rPr>
      </w:pPr>
      <w:r>
        <w:rPr>
          <w:rFonts w:hint="eastAsia"/>
        </w:rPr>
        <w:t>7.1  菜单设计</w:t>
      </w:r>
    </w:p>
    <w:bookmarkEnd w:id="28"/>
    <w:p w14:paraId="5CDCB7A5">
      <w:pPr>
        <w:pStyle w:val="15"/>
        <w:numPr>
          <w:ilvl w:val="2"/>
          <w:numId w:val="0"/>
        </w:numPr>
        <w:spacing w:before="156" w:after="156"/>
        <w:ind w:firstLine="630" w:firstLineChars="300"/>
        <w:outlineLvl w:val="2"/>
        <w:rPr>
          <w:rFonts w:ascii="宋体" w:hAnsi="宋体" w:eastAsia="宋体" w:cs="宋体"/>
        </w:rPr>
      </w:pPr>
      <w:r>
        <w:rPr>
          <w:rFonts w:hint="eastAsia" w:hAnsi="黑体" w:cs="黑体"/>
        </w:rPr>
        <w:t xml:space="preserve">7.1.1  </w:t>
      </w:r>
      <w:r>
        <w:rPr>
          <w:rFonts w:hint="eastAsia" w:ascii="宋体" w:hAnsi="宋体" w:eastAsia="宋体" w:cs="宋体"/>
        </w:rPr>
        <w:t>菜单设计上要有"适量点餐、理性消费"等内容的温馨提示语。</w:t>
      </w:r>
    </w:p>
    <w:p w14:paraId="6B53B4DF">
      <w:pPr>
        <w:pStyle w:val="15"/>
        <w:numPr>
          <w:ilvl w:val="2"/>
          <w:numId w:val="0"/>
        </w:numPr>
        <w:spacing w:before="156" w:after="156"/>
        <w:ind w:left="630" w:leftChars="300"/>
      </w:pPr>
      <w:r>
        <w:rPr>
          <w:rFonts w:hint="eastAsia" w:hAnsi="黑体" w:cs="黑体"/>
        </w:rPr>
        <w:t xml:space="preserve">7.1.2  </w:t>
      </w:r>
      <w:r>
        <w:rPr>
          <w:rFonts w:hint="eastAsia" w:ascii="宋体" w:hAnsi="宋体" w:eastAsia="宋体" w:cs="宋体"/>
        </w:rPr>
        <w:t>菜单设计应控制火锅菜品数量，定期更新菜单，提供大份、中份、小份菜和套餐，方便消费者按需选择，防止浪费。</w:t>
      </w:r>
    </w:p>
    <w:p w14:paraId="7BE698CA">
      <w:pPr>
        <w:pStyle w:val="15"/>
        <w:numPr>
          <w:ilvl w:val="2"/>
          <w:numId w:val="0"/>
        </w:numPr>
        <w:spacing w:before="156" w:after="156"/>
        <w:ind w:left="630" w:left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7.1.3  菜单设计上应详细标明食材份量、建议消费人数和价格等信息。</w:t>
      </w:r>
    </w:p>
    <w:p w14:paraId="62B68C57">
      <w:pPr>
        <w:pStyle w:val="15"/>
        <w:numPr>
          <w:ilvl w:val="2"/>
          <w:numId w:val="0"/>
        </w:numPr>
        <w:spacing w:before="156" w:after="156"/>
        <w:ind w:left="630" w:left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7.1.</w:t>
      </w:r>
      <w:r>
        <w:rPr>
          <w:rFonts w:hint="eastAsia" w:ascii="宋体" w:hAnsi="宋体" w:eastAsia="宋体" w:cs="宋体"/>
          <w:lang w:val="en-US" w:eastAsia="zh-CN"/>
        </w:rPr>
        <w:t>4   动物源性肉制品，宜明确标识具体的动物种类。例如，“肉卷”需注明是猪、牛或羊。</w:t>
      </w:r>
    </w:p>
    <w:p w14:paraId="36179CD9">
      <w:pPr>
        <w:pStyle w:val="9"/>
        <w:ind w:left="0" w:leftChars="0" w:firstLine="630" w:firstLineChars="300"/>
        <w:rPr>
          <w:rFonts w:hint="eastAsia" w:hAnsi="黑体" w:cs="黑体"/>
          <w:lang w:val="en-US" w:eastAsia="zh-CN"/>
        </w:rPr>
      </w:pPr>
      <w:r>
        <w:rPr>
          <w:rFonts w:hint="eastAsia"/>
          <w:lang w:val="en-US" w:eastAsia="zh-CN"/>
        </w:rPr>
        <w:t xml:space="preserve">7.2 </w:t>
      </w:r>
      <w:r>
        <w:rPr>
          <w:rFonts w:hint="eastAsia"/>
        </w:rPr>
        <w:t>区分“原切”、“调理”、“复合”三种本质不同的产品。</w:t>
      </w:r>
      <w:r>
        <w:rPr>
          <w:rFonts w:hint="eastAsia"/>
          <w:lang w:eastAsia="zh-CN"/>
        </w:rPr>
        <w:t>原切肉不添加任何食品添加剂。</w:t>
      </w:r>
    </w:p>
    <w:p w14:paraId="179528FC">
      <w:pPr>
        <w:ind w:left="1050" w:leftChars="300" w:hanging="420" w:hangingChars="200"/>
        <w:rPr>
          <w:rFonts w:hint="eastAsia"/>
        </w:rPr>
      </w:pPr>
      <w:r>
        <w:rPr>
          <w:rFonts w:hint="eastAsia" w:hAnsi="黑体" w:cs="黑体"/>
          <w:lang w:val="en-US" w:eastAsia="zh-CN"/>
        </w:rPr>
        <w:t>7.2.1 调理肉制品</w:t>
      </w:r>
      <w:r>
        <w:rPr>
          <w:rFonts w:hint="eastAsia"/>
        </w:rPr>
        <w:t>是指经过腌制、滚揉、添加调味料等工艺处理过的肉制品。应</w:t>
      </w:r>
      <w:r>
        <w:rPr>
          <w:rFonts w:hint="eastAsia"/>
          <w:lang w:eastAsia="zh-CN"/>
        </w:rPr>
        <w:t>标示</w:t>
      </w:r>
      <w:r>
        <w:rPr>
          <w:rFonts w:hint="eastAsia"/>
        </w:rPr>
        <w:t>其“调理”属性和主料占比。</w:t>
      </w:r>
    </w:p>
    <w:p w14:paraId="57B6E416">
      <w:pPr>
        <w:ind w:left="1050" w:leftChars="300" w:hanging="420" w:hangingChars="200"/>
        <w:rPr>
          <w:rFonts w:hint="eastAsia"/>
        </w:rPr>
      </w:pPr>
      <w:r>
        <w:rPr>
          <w:rFonts w:hint="eastAsia"/>
          <w:lang w:val="en-US" w:eastAsia="zh-CN"/>
        </w:rPr>
        <w:t>7.2.2</w:t>
      </w:r>
      <w:r>
        <w:rPr>
          <w:rFonts w:hint="eastAsia"/>
        </w:rPr>
        <w:t xml:space="preserve"> 以调理肉为原料的菜品，应在产品名称中或名称后紧接标示“调理”字样。</w:t>
      </w:r>
      <w:r>
        <w:rPr>
          <w:rFonts w:hint="eastAsia"/>
          <w:lang w:eastAsia="zh-CN"/>
        </w:rPr>
        <w:t>如</w:t>
      </w:r>
      <w:r>
        <w:rPr>
          <w:rFonts w:hint="eastAsia"/>
        </w:rPr>
        <w:t>： “牛肉（调理）”。</w:t>
      </w:r>
    </w:p>
    <w:p w14:paraId="0C72F555">
      <w:pPr>
        <w:ind w:firstLine="630" w:firstLineChars="300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应标示产品中主要肉品的质量百分比，格式为“主料名称≥X%”。</w:t>
      </w:r>
      <w:r>
        <w:rPr>
          <w:rFonts w:hint="eastAsia"/>
          <w:lang w:eastAsia="zh-CN"/>
        </w:rPr>
        <w:t>如</w:t>
      </w:r>
      <w:r>
        <w:rPr>
          <w:rFonts w:hint="eastAsia"/>
        </w:rPr>
        <w:t>：</w:t>
      </w:r>
      <w:r>
        <w:rPr>
          <w:rFonts w:hint="eastAsia"/>
          <w:lang w:eastAsia="zh-CN"/>
        </w:rPr>
        <w:t>“</w:t>
      </w:r>
      <w:r>
        <w:rPr>
          <w:rFonts w:hint="eastAsia"/>
        </w:rPr>
        <w:t>牛肉≥85%”。</w:t>
      </w:r>
    </w:p>
    <w:p w14:paraId="0FCFDC70">
      <w:pPr>
        <w:ind w:left="1260" w:leftChars="300" w:hanging="630" w:hangingChars="300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.2</w:t>
      </w:r>
      <w:r>
        <w:rPr>
          <w:rFonts w:hint="eastAsia"/>
          <w:lang w:val="en-US" w:eastAsia="zh-CN"/>
        </w:rPr>
        <w:t>.4</w:t>
      </w:r>
      <w:r>
        <w:rPr>
          <w:rFonts w:hint="eastAsia"/>
        </w:rPr>
        <w:t xml:space="preserve"> 宜在菜谱中或以其他方式</w:t>
      </w:r>
      <w:r>
        <w:rPr>
          <w:rFonts w:hint="eastAsia"/>
          <w:lang w:eastAsia="zh-CN"/>
        </w:rPr>
        <w:t>明</w:t>
      </w:r>
      <w:r>
        <w:rPr>
          <w:rFonts w:hint="eastAsia"/>
        </w:rPr>
        <w:t>示所使用的食品添加剂（如保水剂、色素、防腐剂）的功能类别及名称，</w:t>
      </w:r>
      <w:r>
        <w:rPr>
          <w:rFonts w:hint="eastAsia"/>
          <w:lang w:eastAsia="zh-CN"/>
        </w:rPr>
        <w:t>且</w:t>
      </w:r>
      <w:r>
        <w:rPr>
          <w:rFonts w:hint="eastAsia"/>
        </w:rPr>
        <w:t>符合国家关于餐饮食品标识的相关指引。</w:t>
      </w:r>
    </w:p>
    <w:p w14:paraId="116D9AF3">
      <w:pPr>
        <w:ind w:left="1260" w:leftChars="300" w:hanging="630" w:hangingChars="300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2.5</w:t>
      </w:r>
      <w:r>
        <w:rPr>
          <w:rFonts w:hint="eastAsia"/>
        </w:rPr>
        <w:t xml:space="preserve"> 以复合肉为原料的菜品，</w:t>
      </w:r>
      <w:r>
        <w:rPr>
          <w:rFonts w:hint="eastAsia"/>
          <w:lang w:eastAsia="zh-CN"/>
        </w:rPr>
        <w:t>应</w:t>
      </w:r>
      <w:r>
        <w:rPr>
          <w:rFonts w:hint="eastAsia"/>
        </w:rPr>
        <w:t>在产品名称中或名称后紧接标示“复合”、“重组”或“拼接”等字样，且字样大小应与产品名称保持一致。</w:t>
      </w:r>
      <w:r>
        <w:rPr>
          <w:rFonts w:hint="eastAsia"/>
          <w:lang w:eastAsia="zh-CN"/>
        </w:rPr>
        <w:t>如</w:t>
      </w:r>
      <w:r>
        <w:rPr>
          <w:rFonts w:hint="eastAsia"/>
        </w:rPr>
        <w:t>：“重组牛排”。</w:t>
      </w:r>
    </w:p>
    <w:p w14:paraId="10760E41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 餐前服务</w:t>
      </w:r>
    </w:p>
    <w:p w14:paraId="6A51AA39">
      <w:pPr>
        <w:pStyle w:val="15"/>
        <w:numPr>
          <w:ilvl w:val="2"/>
          <w:numId w:val="0"/>
        </w:numPr>
        <w:spacing w:before="156" w:after="156"/>
        <w:ind w:firstLine="630" w:firstLineChars="300"/>
        <w:outlineLvl w:val="2"/>
        <w:rPr>
          <w:rFonts w:ascii="宋体" w:hAnsi="宋体" w:eastAsia="宋体" w:cs="宋体"/>
        </w:rPr>
      </w:pPr>
      <w:r>
        <w:rPr>
          <w:rFonts w:hint="eastAsia" w:hAnsi="黑体" w:cs="黑体"/>
          <w:lang w:val="en-US" w:eastAsia="zh-CN"/>
        </w:rPr>
        <w:t>7</w:t>
      </w:r>
      <w:r>
        <w:rPr>
          <w:rFonts w:hint="eastAsia" w:hAnsi="黑体" w:cs="黑体"/>
        </w:rPr>
        <w:t>.</w:t>
      </w:r>
      <w:r>
        <w:rPr>
          <w:rFonts w:hint="eastAsia" w:hAnsi="黑体" w:cs="黑体"/>
          <w:lang w:val="en-US" w:eastAsia="zh-CN"/>
        </w:rPr>
        <w:t>3</w:t>
      </w:r>
      <w:r>
        <w:rPr>
          <w:rFonts w:hint="eastAsia" w:hAnsi="黑体" w:cs="黑体"/>
        </w:rPr>
        <w:t xml:space="preserve">.1  </w:t>
      </w:r>
      <w:r>
        <w:rPr>
          <w:rFonts w:hint="eastAsia" w:ascii="宋体" w:hAnsi="宋体" w:eastAsia="宋体" w:cs="宋体"/>
        </w:rPr>
        <w:t>店内及在线开展节约餐饮的宣传，建立鼓励消费者节约食物的制度。</w:t>
      </w:r>
    </w:p>
    <w:p w14:paraId="787A8189">
      <w:pPr>
        <w:pStyle w:val="15"/>
        <w:numPr>
          <w:ilvl w:val="2"/>
          <w:numId w:val="0"/>
        </w:numPr>
        <w:spacing w:before="156" w:after="156"/>
        <w:ind w:firstLine="630" w:firstLineChars="300"/>
        <w:outlineLvl w:val="2"/>
        <w:rPr>
          <w:rFonts w:ascii="宋体" w:hAnsi="宋体" w:eastAsia="宋体" w:cs="宋体"/>
        </w:rPr>
      </w:pPr>
      <w:bookmarkStart w:id="29" w:name="_Toc16363"/>
      <w:r>
        <w:rPr>
          <w:rFonts w:hint="eastAsia" w:hAnsi="黑体" w:cs="黑体"/>
          <w:lang w:val="en-US" w:eastAsia="zh-CN"/>
        </w:rPr>
        <w:t>7</w:t>
      </w:r>
      <w:r>
        <w:rPr>
          <w:rFonts w:hint="eastAsia" w:hAnsi="黑体" w:cs="黑体"/>
        </w:rPr>
        <w:t>.</w:t>
      </w:r>
      <w:r>
        <w:rPr>
          <w:rFonts w:hint="eastAsia" w:hAnsi="黑体" w:cs="黑体"/>
          <w:lang w:val="en-US" w:eastAsia="zh-CN"/>
        </w:rPr>
        <w:t>3</w:t>
      </w:r>
      <w:r>
        <w:rPr>
          <w:rFonts w:hint="eastAsia" w:hAnsi="黑体" w:cs="黑体"/>
        </w:rPr>
        <w:t xml:space="preserve">.2  </w:t>
      </w:r>
      <w:r>
        <w:rPr>
          <w:rFonts w:hint="eastAsia" w:ascii="宋体" w:hAnsi="宋体" w:eastAsia="宋体" w:cs="宋体"/>
        </w:rPr>
        <w:t>顾客订餐、点餐时服务员应提醒、引导顾客理性消费、适量点餐。</w:t>
      </w:r>
    </w:p>
    <w:p w14:paraId="5FBD2591">
      <w:pPr>
        <w:pStyle w:val="15"/>
        <w:numPr>
          <w:ilvl w:val="2"/>
          <w:numId w:val="0"/>
        </w:numPr>
        <w:spacing w:before="156" w:after="156"/>
        <w:ind w:firstLine="630" w:firstLineChars="300"/>
        <w:outlineLvl w:val="2"/>
      </w:pPr>
      <w:r>
        <w:rPr>
          <w:rFonts w:hint="eastAsia" w:hAnsi="黑体" w:cs="黑体"/>
          <w:lang w:val="en-US" w:eastAsia="zh-CN"/>
        </w:rPr>
        <w:t>7.3.3</w:t>
      </w:r>
      <w:r>
        <w:rPr>
          <w:rFonts w:hint="eastAsia" w:hAnsi="黑体" w:cs="黑体"/>
        </w:rPr>
        <w:t xml:space="preserve">  </w:t>
      </w:r>
      <w:r>
        <w:rPr>
          <w:rFonts w:hint="eastAsia" w:ascii="宋体" w:hAnsi="宋体" w:eastAsia="宋体" w:cs="宋体"/>
        </w:rPr>
        <w:t>对在线销售火锅产品时应明示份量、规格、建议消费人数等信息。</w:t>
      </w:r>
    </w:p>
    <w:bookmarkEnd w:id="29"/>
    <w:p w14:paraId="78AAB1C1">
      <w:pPr>
        <w:pStyle w:val="15"/>
        <w:numPr>
          <w:ilvl w:val="2"/>
          <w:numId w:val="0"/>
        </w:numPr>
        <w:spacing w:before="156" w:after="156"/>
        <w:ind w:left="630" w:leftChars="300"/>
        <w:rPr>
          <w:rFonts w:hint="eastAsia" w:ascii="宋体" w:hAnsi="宋体" w:eastAsia="宋体" w:cs="宋体"/>
        </w:rPr>
      </w:pPr>
      <w:r>
        <w:rPr>
          <w:rFonts w:hint="eastAsia" w:hAnsi="黑体" w:cs="黑体"/>
          <w:lang w:val="en-US" w:eastAsia="zh-CN"/>
        </w:rPr>
        <w:t>7.3.4</w:t>
      </w:r>
      <w:r>
        <w:rPr>
          <w:rFonts w:hint="eastAsia" w:hAnsi="黑体" w:cs="黑体"/>
        </w:rPr>
        <w:t xml:space="preserve">  </w:t>
      </w:r>
      <w:r>
        <w:rPr>
          <w:rFonts w:hint="eastAsia" w:ascii="宋体" w:hAnsi="宋体" w:eastAsia="宋体" w:cs="宋体"/>
        </w:rPr>
        <w:t>鼓励有条件的火锅经营者在线上点餐环节推出“菜量自动提醒”功能，在消费者设置用餐人数后，根据不同就餐情况给出菜品量提示，帮助消费者选择。</w:t>
      </w:r>
    </w:p>
    <w:p w14:paraId="0BAD2139">
      <w:pPr>
        <w:pStyle w:val="9"/>
        <w:ind w:left="630" w:leftChars="300" w:firstLine="0" w:firstLineChars="0"/>
        <w:rPr>
          <w:rFonts w:hint="default" w:eastAsiaTheme="minorEastAsia"/>
          <w:lang w:val="en-US" w:eastAsia="zh-CN"/>
        </w:rPr>
      </w:pPr>
      <w:r>
        <w:rPr>
          <w:rFonts w:hint="eastAsia" w:hAnsi="黑体" w:cs="黑体"/>
          <w:lang w:val="en-US" w:eastAsia="zh-CN"/>
        </w:rPr>
        <w:t>7.3.5  正确宣传肉品真实属性，不</w:t>
      </w:r>
      <w:r>
        <w:rPr>
          <w:rFonts w:hint="eastAsia" w:hAnsi="黑体" w:cs="黑体"/>
        </w:rPr>
        <w:t>将复合肉或调理肉虚假宣传为</w:t>
      </w:r>
      <w:r>
        <w:rPr>
          <w:rFonts w:hint="eastAsia" w:hAnsi="黑体" w:cs="黑体"/>
          <w:lang w:val="en-US" w:eastAsia="zh-CN"/>
        </w:rPr>
        <w:t xml:space="preserve"> </w:t>
      </w:r>
      <w:r>
        <w:rPr>
          <w:rFonts w:hint="eastAsia" w:hAnsi="黑体" w:cs="黑体"/>
          <w:lang w:eastAsia="zh-CN"/>
        </w:rPr>
        <w:t>“</w:t>
      </w:r>
      <w:r>
        <w:rPr>
          <w:rFonts w:hint="eastAsia" w:hAnsi="黑体" w:cs="黑体"/>
        </w:rPr>
        <w:t>原切肉</w:t>
      </w:r>
      <w:r>
        <w:rPr>
          <w:rFonts w:hint="eastAsia" w:hAnsi="黑体" w:cs="黑体"/>
          <w:lang w:eastAsia="zh-CN"/>
        </w:rPr>
        <w:t>”</w:t>
      </w:r>
      <w:r>
        <w:rPr>
          <w:rFonts w:hint="eastAsia" w:hAnsi="黑体" w:cs="黑体"/>
        </w:rPr>
        <w:t>、</w:t>
      </w:r>
      <w:r>
        <w:rPr>
          <w:rFonts w:hint="eastAsia" w:hAnsi="黑体" w:cs="黑体"/>
          <w:lang w:eastAsia="zh-CN"/>
        </w:rPr>
        <w:t>“</w:t>
      </w:r>
      <w:r>
        <w:rPr>
          <w:rFonts w:hint="eastAsia" w:hAnsi="黑体" w:cs="黑体"/>
        </w:rPr>
        <w:t>整切肉</w:t>
      </w:r>
      <w:r>
        <w:rPr>
          <w:rFonts w:hint="default" w:hAnsi="黑体" w:cs="黑体"/>
          <w:lang w:val="en-US" w:eastAsia="zh-CN"/>
        </w:rPr>
        <w:t>”</w:t>
      </w:r>
      <w:r>
        <w:rPr>
          <w:rFonts w:hint="eastAsia" w:hAnsi="黑体" w:cs="黑体"/>
        </w:rPr>
        <w:t>或</w:t>
      </w:r>
      <w:r>
        <w:rPr>
          <w:rFonts w:hint="eastAsia" w:hAnsi="黑体" w:cs="黑体"/>
          <w:lang w:eastAsia="zh-CN"/>
        </w:rPr>
        <w:t>“</w:t>
      </w:r>
      <w:r>
        <w:rPr>
          <w:rFonts w:hint="eastAsia" w:hAnsi="黑体" w:cs="黑体"/>
        </w:rPr>
        <w:t>纯肉</w:t>
      </w:r>
      <w:r>
        <w:rPr>
          <w:rFonts w:hint="default" w:hAnsi="黑体" w:cs="黑体"/>
          <w:lang w:val="en-US" w:eastAsia="zh-CN"/>
        </w:rPr>
        <w:t>”</w:t>
      </w:r>
      <w:r>
        <w:rPr>
          <w:rFonts w:hint="eastAsia" w:hAnsi="黑体" w:cs="黑体"/>
        </w:rPr>
        <w:t>。</w:t>
      </w:r>
    </w:p>
    <w:p w14:paraId="2C7D2C27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  餐中服务</w:t>
      </w:r>
    </w:p>
    <w:p w14:paraId="4BD6A0B0">
      <w:pPr>
        <w:pStyle w:val="15"/>
        <w:numPr>
          <w:ilvl w:val="2"/>
          <w:numId w:val="0"/>
        </w:numPr>
        <w:spacing w:before="156" w:after="156"/>
        <w:ind w:firstLine="630" w:firstLineChars="300"/>
        <w:outlineLvl w:val="2"/>
        <w:rPr>
          <w:rFonts w:ascii="宋体" w:hAnsi="宋体" w:eastAsia="宋体" w:cs="宋体"/>
        </w:rPr>
      </w:pPr>
      <w:r>
        <w:rPr>
          <w:rFonts w:hint="eastAsia" w:hAnsi="黑体" w:cs="黑体"/>
          <w:lang w:val="en-US" w:eastAsia="zh-CN"/>
        </w:rPr>
        <w:t>7.4.1</w:t>
      </w:r>
      <w:r>
        <w:rPr>
          <w:rFonts w:hint="eastAsia" w:hAnsi="黑体" w:cs="黑体"/>
        </w:rPr>
        <w:t xml:space="preserve">  </w:t>
      </w:r>
      <w:r>
        <w:rPr>
          <w:rFonts w:hint="eastAsia" w:ascii="宋体" w:hAnsi="宋体" w:eastAsia="宋体" w:cs="宋体"/>
        </w:rPr>
        <w:t>加餐时服务员应提醒、引导顾客理性消费、适量点餐。</w:t>
      </w:r>
    </w:p>
    <w:p w14:paraId="44B6B092">
      <w:pPr>
        <w:pStyle w:val="15"/>
        <w:numPr>
          <w:ilvl w:val="2"/>
          <w:numId w:val="0"/>
        </w:numPr>
        <w:spacing w:before="156" w:after="156"/>
        <w:ind w:firstLine="630" w:firstLineChars="300"/>
        <w:rPr>
          <w:rFonts w:ascii="宋体" w:hAnsi="宋体" w:eastAsia="宋体" w:cs="宋体"/>
        </w:rPr>
      </w:pPr>
      <w:r>
        <w:rPr>
          <w:rFonts w:hint="eastAsia" w:hAnsi="黑体" w:cs="黑体"/>
          <w:lang w:val="en-US" w:eastAsia="zh-CN"/>
        </w:rPr>
        <w:t>7.4.2</w:t>
      </w:r>
      <w:r>
        <w:rPr>
          <w:rFonts w:hint="eastAsia" w:hAnsi="黑体" w:cs="黑体"/>
        </w:rPr>
        <w:t xml:space="preserve">  </w:t>
      </w:r>
      <w:r>
        <w:rPr>
          <w:rFonts w:hint="eastAsia" w:ascii="宋体" w:hAnsi="宋体" w:eastAsia="宋体" w:cs="宋体"/>
        </w:rPr>
        <w:t>自助火锅餐服务时应在醒目位置提示顾客按需、少量、多次取餐，引导顾客合理取餐。</w:t>
      </w:r>
    </w:p>
    <w:p w14:paraId="010271ED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</w:pPr>
      <w:r>
        <w:rPr>
          <w:rFonts w:hint="eastAsia"/>
          <w:lang w:val="en-US" w:eastAsia="zh-CN"/>
        </w:rPr>
        <w:t xml:space="preserve">7.5 </w:t>
      </w:r>
      <w:r>
        <w:rPr>
          <w:rFonts w:hint="eastAsia"/>
        </w:rPr>
        <w:t xml:space="preserve"> 餐后服务</w:t>
      </w:r>
    </w:p>
    <w:p w14:paraId="1AA601ED">
      <w:pPr>
        <w:pStyle w:val="15"/>
        <w:numPr>
          <w:ilvl w:val="2"/>
          <w:numId w:val="0"/>
        </w:numPr>
        <w:spacing w:before="156" w:after="156"/>
        <w:ind w:firstLine="630" w:firstLineChars="300"/>
        <w:outlineLvl w:val="2"/>
        <w:rPr>
          <w:rFonts w:ascii="宋体" w:hAnsi="宋体" w:eastAsia="宋体" w:cs="宋体"/>
        </w:rPr>
      </w:pPr>
      <w:r>
        <w:rPr>
          <w:rFonts w:hint="eastAsia" w:hAnsi="黑体" w:cs="黑体"/>
          <w:lang w:val="en-US" w:eastAsia="zh-CN"/>
        </w:rPr>
        <w:t>7.5</w:t>
      </w:r>
      <w:r>
        <w:rPr>
          <w:rFonts w:hint="eastAsia" w:hAnsi="黑体" w:cs="黑体"/>
        </w:rPr>
        <w:t xml:space="preserve">.1  </w:t>
      </w:r>
      <w:r>
        <w:rPr>
          <w:rFonts w:hint="eastAsia" w:ascii="宋体" w:hAnsi="宋体" w:eastAsia="宋体" w:cs="宋体"/>
        </w:rPr>
        <w:t>提供餐后剩余食物打包服务，提供打包食物安全食用提示卡，设立打包专区。</w:t>
      </w:r>
    </w:p>
    <w:p w14:paraId="4947F93D">
      <w:pPr>
        <w:pStyle w:val="15"/>
        <w:numPr>
          <w:ilvl w:val="2"/>
          <w:numId w:val="0"/>
        </w:numPr>
        <w:spacing w:before="156" w:after="156"/>
        <w:ind w:firstLine="630" w:firstLineChars="300"/>
        <w:outlineLvl w:val="2"/>
        <w:rPr>
          <w:rFonts w:ascii="宋体" w:hAnsi="宋体" w:eastAsia="宋体" w:cs="宋体"/>
        </w:rPr>
      </w:pPr>
      <w:r>
        <w:rPr>
          <w:rFonts w:hint="eastAsia" w:hAnsi="黑体" w:cs="黑体"/>
          <w:lang w:val="en-US" w:eastAsia="zh-CN"/>
        </w:rPr>
        <w:t>7.5</w:t>
      </w:r>
      <w:r>
        <w:rPr>
          <w:rFonts w:hint="eastAsia" w:hAnsi="黑体" w:cs="黑体"/>
        </w:rPr>
        <w:t xml:space="preserve">.2  </w:t>
      </w:r>
      <w:r>
        <w:rPr>
          <w:rFonts w:hint="eastAsia" w:ascii="宋体" w:hAnsi="宋体" w:eastAsia="宋体" w:cs="宋体"/>
        </w:rPr>
        <w:t>打包盒应选用可循环利用或环境可降解材料，避免或减少过度包装。</w:t>
      </w:r>
    </w:p>
    <w:p w14:paraId="4E65BFF4">
      <w:pPr>
        <w:pStyle w:val="15"/>
        <w:numPr>
          <w:ilvl w:val="2"/>
          <w:numId w:val="0"/>
        </w:numPr>
        <w:spacing w:before="156" w:after="156"/>
        <w:ind w:firstLine="630" w:firstLineChars="300"/>
        <w:outlineLvl w:val="2"/>
      </w:pPr>
      <w:r>
        <w:rPr>
          <w:rFonts w:hint="eastAsia" w:hAnsi="黑体" w:cs="黑体"/>
          <w:lang w:val="en-US" w:eastAsia="zh-CN"/>
        </w:rPr>
        <w:t>7.5.3</w:t>
      </w:r>
      <w:r>
        <w:rPr>
          <w:rFonts w:hint="eastAsia" w:hAnsi="黑体" w:cs="黑体"/>
        </w:rPr>
        <w:t xml:space="preserve">  </w:t>
      </w:r>
      <w:r>
        <w:rPr>
          <w:rFonts w:hint="eastAsia" w:ascii="宋体" w:hAnsi="宋体" w:eastAsia="宋体" w:cs="宋体"/>
        </w:rPr>
        <w:t>建立火锅质量反馈机制，避免餐饮浪费。</w:t>
      </w:r>
    </w:p>
    <w:p w14:paraId="4A67AF56">
      <w:pPr>
        <w:pStyle w:val="10"/>
        <w:numPr>
          <w:ilvl w:val="0"/>
          <w:numId w:val="0"/>
        </w:numPr>
        <w:spacing w:before="312" w:after="312"/>
        <w:ind w:firstLine="630" w:firstLineChars="300"/>
        <w:outlineLvl w:val="0"/>
        <w:rPr>
          <w:szCs w:val="22"/>
        </w:rPr>
      </w:pPr>
      <w:bookmarkStart w:id="30" w:name="_Toc9720"/>
      <w:bookmarkStart w:id="31" w:name="_Toc7701"/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  设施设备</w:t>
      </w:r>
      <w:bookmarkEnd w:id="30"/>
      <w:bookmarkEnd w:id="31"/>
    </w:p>
    <w:p w14:paraId="71E853B6">
      <w:pPr>
        <w:pStyle w:val="11"/>
        <w:numPr>
          <w:ilvl w:val="1"/>
          <w:numId w:val="0"/>
        </w:numPr>
        <w:spacing w:before="156" w:after="156"/>
        <w:ind w:left="630" w:leftChars="300"/>
        <w:rPr>
          <w:rFonts w:asciiTheme="minorEastAsia" w:hAnsiTheme="minorEastAsia" w:eastAsiaTheme="minorEastAsia" w:cstheme="minorEastAsia"/>
        </w:rPr>
      </w:pPr>
      <w:r>
        <w:rPr>
          <w:rFonts w:hint="eastAsia" w:hAnsi="黑体" w:cs="黑体"/>
          <w:lang w:val="en-US" w:eastAsia="zh-CN"/>
        </w:rPr>
        <w:t>8</w:t>
      </w:r>
      <w:r>
        <w:rPr>
          <w:rFonts w:hint="eastAsia" w:hAnsi="黑体" w:cs="黑体"/>
        </w:rPr>
        <w:t xml:space="preserve">.1  </w:t>
      </w:r>
      <w:r>
        <w:rPr>
          <w:rFonts w:hint="eastAsia" w:asciiTheme="minorEastAsia" w:hAnsiTheme="minorEastAsia" w:eastAsiaTheme="minorEastAsia" w:cstheme="minorEastAsia"/>
        </w:rPr>
        <w:t>设施设备的配置应遵循安全、实用、环保、节能的原则。优先采用节能型厨具、灶具、冰箱、冰柜，节水型水龙头等设备。促进节能减排，打造“绿色餐厅”。</w:t>
      </w:r>
    </w:p>
    <w:p w14:paraId="3289709E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  <w:rPr>
          <w:rFonts w:asciiTheme="minorEastAsia" w:hAnsiTheme="minorEastAsia" w:eastAsiaTheme="minorEastAsia" w:cstheme="minorEastAsia"/>
        </w:rPr>
      </w:pPr>
      <w:r>
        <w:rPr>
          <w:rFonts w:hint="eastAsia" w:hAnsi="黑体" w:cs="黑体"/>
          <w:lang w:val="en-US" w:eastAsia="zh-CN"/>
        </w:rPr>
        <w:t>8</w:t>
      </w:r>
      <w:r>
        <w:rPr>
          <w:rFonts w:hint="eastAsia" w:hAnsi="黑体" w:cs="黑体"/>
        </w:rPr>
        <w:t xml:space="preserve">.2  </w:t>
      </w:r>
      <w:r>
        <w:rPr>
          <w:rFonts w:hint="eastAsia" w:asciiTheme="minorEastAsia" w:hAnsiTheme="minorEastAsia" w:eastAsiaTheme="minorEastAsia" w:cstheme="minorEastAsia"/>
        </w:rPr>
        <w:t>应建立设施设备的管理制度，每台设施设备应建档立卡并有专人负责管理。</w:t>
      </w:r>
    </w:p>
    <w:p w14:paraId="03D1DC12">
      <w:pPr>
        <w:pStyle w:val="11"/>
        <w:numPr>
          <w:ilvl w:val="1"/>
          <w:numId w:val="0"/>
        </w:numPr>
        <w:spacing w:before="156" w:after="156"/>
        <w:ind w:left="630" w:leftChars="300"/>
        <w:rPr>
          <w:rFonts w:asciiTheme="minorEastAsia" w:hAnsiTheme="minorEastAsia" w:eastAsiaTheme="minorEastAsia" w:cstheme="minorEastAsia"/>
        </w:rPr>
      </w:pPr>
      <w:r>
        <w:rPr>
          <w:rFonts w:hint="eastAsia" w:hAnsi="黑体" w:cs="黑体"/>
          <w:lang w:val="en-US" w:eastAsia="zh-CN"/>
        </w:rPr>
        <w:t>8</w:t>
      </w:r>
      <w:r>
        <w:rPr>
          <w:rFonts w:hint="eastAsia" w:hAnsi="黑体" w:cs="黑体"/>
        </w:rPr>
        <w:t xml:space="preserve">.3  </w:t>
      </w:r>
      <w:r>
        <w:rPr>
          <w:rFonts w:hint="eastAsia" w:asciiTheme="minorEastAsia" w:hAnsiTheme="minorEastAsia" w:eastAsiaTheme="minorEastAsia" w:cstheme="minorEastAsia"/>
        </w:rPr>
        <w:t>设施设备应指定专人负责操作，做好日常维护保养，定期检修，确保运转正常、安全，减少能源损耗。</w:t>
      </w:r>
    </w:p>
    <w:p w14:paraId="5479CD60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  <w:rPr>
          <w:rFonts w:asciiTheme="minorEastAsia" w:hAnsiTheme="minorEastAsia" w:eastAsiaTheme="minorEastAsia" w:cstheme="minorEastAsia"/>
        </w:rPr>
      </w:pPr>
      <w:r>
        <w:rPr>
          <w:rFonts w:hint="eastAsia" w:hAnsi="黑体" w:cs="黑体"/>
          <w:lang w:val="en-US" w:eastAsia="zh-CN"/>
        </w:rPr>
        <w:t>8</w:t>
      </w:r>
      <w:r>
        <w:rPr>
          <w:rFonts w:hint="eastAsia" w:hAnsi="黑体" w:cs="黑体"/>
        </w:rPr>
        <w:t xml:space="preserve">.4  </w:t>
      </w:r>
      <w:r>
        <w:rPr>
          <w:rFonts w:hint="eastAsia" w:asciiTheme="minorEastAsia" w:hAnsiTheme="minorEastAsia" w:eastAsiaTheme="minorEastAsia" w:cstheme="minorEastAsia"/>
        </w:rPr>
        <w:t>使用人员应严格遵守操作规程，发现故障，及时报修。</w:t>
      </w:r>
    </w:p>
    <w:p w14:paraId="70512C76">
      <w:pPr>
        <w:pStyle w:val="11"/>
        <w:numPr>
          <w:ilvl w:val="1"/>
          <w:numId w:val="0"/>
        </w:numPr>
        <w:spacing w:before="156" w:after="156"/>
        <w:ind w:left="630" w:leftChars="300"/>
        <w:rPr>
          <w:rFonts w:asciiTheme="minorEastAsia" w:hAnsiTheme="minorEastAsia" w:eastAsiaTheme="minorEastAsia" w:cstheme="minorEastAsia"/>
        </w:rPr>
      </w:pPr>
      <w:r>
        <w:rPr>
          <w:rFonts w:hint="eastAsia" w:hAnsi="黑体" w:cs="黑体"/>
          <w:lang w:val="en-US" w:eastAsia="zh-CN"/>
        </w:rPr>
        <w:t>8</w:t>
      </w:r>
      <w:r>
        <w:rPr>
          <w:rFonts w:hint="eastAsia" w:hAnsi="黑体" w:cs="黑体"/>
        </w:rPr>
        <w:t xml:space="preserve">.5  </w:t>
      </w:r>
      <w:r>
        <w:rPr>
          <w:rFonts w:hint="eastAsia" w:asciiTheme="minorEastAsia" w:hAnsiTheme="minorEastAsia" w:eastAsiaTheme="minorEastAsia" w:cstheme="minorEastAsia"/>
        </w:rPr>
        <w:t>定期检查水池、水龙头或其它水管接头以及地下管道有无漏水情况，污水排放应符合 GB8978 的规定。</w:t>
      </w:r>
    </w:p>
    <w:p w14:paraId="3B825866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  <w:rPr>
          <w:rFonts w:asciiTheme="minorEastAsia" w:hAnsiTheme="minorEastAsia" w:eastAsiaTheme="minorEastAsia" w:cstheme="minorEastAsia"/>
        </w:rPr>
      </w:pPr>
      <w:r>
        <w:rPr>
          <w:rFonts w:hint="eastAsia" w:hAnsi="黑体" w:cs="黑体"/>
          <w:lang w:val="en-US" w:eastAsia="zh-CN"/>
        </w:rPr>
        <w:t>8</w:t>
      </w:r>
      <w:r>
        <w:rPr>
          <w:rFonts w:hint="eastAsia" w:hAnsi="黑体" w:cs="黑体"/>
        </w:rPr>
        <w:t xml:space="preserve">.6  </w:t>
      </w:r>
      <w:r>
        <w:rPr>
          <w:rFonts w:hint="eastAsia" w:asciiTheme="minorEastAsia" w:hAnsiTheme="minorEastAsia" w:eastAsiaTheme="minorEastAsia" w:cstheme="minorEastAsia"/>
        </w:rPr>
        <w:t>应根据当地天气情况，将火锅进餐场所的温度控制在合理范围内。</w:t>
      </w:r>
    </w:p>
    <w:p w14:paraId="576D7479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</w:pPr>
      <w:r>
        <w:rPr>
          <w:rFonts w:hint="eastAsia" w:hAnsi="黑体" w:cs="黑体"/>
          <w:lang w:val="en-US" w:eastAsia="zh-CN"/>
        </w:rPr>
        <w:t>8</w:t>
      </w:r>
      <w:r>
        <w:rPr>
          <w:rFonts w:hint="eastAsia" w:hAnsi="黑体" w:cs="黑体"/>
        </w:rPr>
        <w:t xml:space="preserve">.7  </w:t>
      </w:r>
      <w:r>
        <w:rPr>
          <w:rFonts w:hint="eastAsia" w:asciiTheme="minorEastAsia" w:hAnsiTheme="minorEastAsia" w:eastAsiaTheme="minorEastAsia" w:cstheme="minorEastAsia"/>
        </w:rPr>
        <w:t>宜采用油水分离装置。</w:t>
      </w:r>
    </w:p>
    <w:p w14:paraId="5909C6E6">
      <w:pPr>
        <w:pStyle w:val="10"/>
        <w:numPr>
          <w:ilvl w:val="0"/>
          <w:numId w:val="0"/>
        </w:numPr>
        <w:spacing w:before="312" w:after="312"/>
        <w:ind w:firstLine="630" w:firstLineChars="300"/>
        <w:outlineLvl w:val="0"/>
        <w:rPr>
          <w:rFonts w:ascii="宋体" w:hAnsi="宋体" w:eastAsia="宋体" w:cs="宋体"/>
        </w:rPr>
      </w:pPr>
      <w:bookmarkStart w:id="32" w:name="_Toc31033"/>
      <w:bookmarkStart w:id="33" w:name="_Toc18289"/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  人员</w:t>
      </w:r>
      <w:bookmarkEnd w:id="32"/>
      <w:bookmarkEnd w:id="33"/>
    </w:p>
    <w:p w14:paraId="10DD6FD7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  <w:rPr>
          <w:rFonts w:ascii="宋体" w:hAnsi="宋体" w:eastAsia="宋体" w:cs="宋体"/>
        </w:rPr>
      </w:pPr>
      <w:r>
        <w:rPr>
          <w:rFonts w:hint="eastAsia" w:hAnsi="黑体" w:cs="黑体"/>
          <w:lang w:val="en-US" w:eastAsia="zh-CN"/>
        </w:rPr>
        <w:t>9.1</w:t>
      </w:r>
      <w:r>
        <w:rPr>
          <w:rFonts w:hint="eastAsia" w:hAnsi="黑体" w:cs="黑体"/>
        </w:rPr>
        <w:t xml:space="preserve">  </w:t>
      </w:r>
      <w:r>
        <w:rPr>
          <w:rFonts w:hint="eastAsia" w:ascii="宋体" w:hAnsi="宋体" w:eastAsia="宋体" w:cs="宋体"/>
        </w:rPr>
        <w:t>应优化人员配置的组织结构和岗位，避免重复交叉。</w:t>
      </w:r>
    </w:p>
    <w:p w14:paraId="1387F930">
      <w:pPr>
        <w:pStyle w:val="11"/>
        <w:numPr>
          <w:ilvl w:val="1"/>
          <w:numId w:val="0"/>
        </w:numPr>
        <w:spacing w:before="156" w:after="156"/>
        <w:ind w:firstLine="630" w:firstLineChars="300"/>
        <w:outlineLvl w:val="1"/>
        <w:rPr>
          <w:rFonts w:ascii="宋体" w:hAnsi="宋体" w:eastAsia="宋体" w:cs="宋体"/>
        </w:rPr>
      </w:pPr>
      <w:r>
        <w:rPr>
          <w:rFonts w:hint="eastAsia" w:hAnsi="黑体" w:cs="黑体"/>
          <w:lang w:val="en-US" w:eastAsia="zh-CN"/>
        </w:rPr>
        <w:t>9</w:t>
      </w:r>
      <w:r>
        <w:rPr>
          <w:rFonts w:hint="eastAsia" w:hAnsi="黑体" w:cs="黑体"/>
        </w:rPr>
        <w:t xml:space="preserve">.2  </w:t>
      </w:r>
      <w:r>
        <w:rPr>
          <w:rFonts w:hint="eastAsia" w:ascii="宋体" w:hAnsi="宋体" w:eastAsia="宋体" w:cs="宋体"/>
        </w:rPr>
        <w:t>应优化加工制作工艺及运作流程，提高员工的技术水平，减少人员岗位设置。</w:t>
      </w:r>
    </w:p>
    <w:p w14:paraId="7630F20A">
      <w:pPr>
        <w:pStyle w:val="11"/>
        <w:numPr>
          <w:ilvl w:val="1"/>
          <w:numId w:val="0"/>
        </w:numPr>
        <w:spacing w:before="156" w:after="156"/>
        <w:ind w:left="630" w:leftChars="300"/>
        <w:rPr>
          <w:rFonts w:ascii="宋体" w:hAnsi="宋体" w:eastAsia="宋体" w:cs="宋体"/>
        </w:rPr>
      </w:pPr>
      <w:r>
        <w:rPr>
          <w:rFonts w:hint="eastAsia" w:hAnsi="黑体" w:cs="黑体"/>
          <w:lang w:val="en-US" w:eastAsia="zh-CN"/>
        </w:rPr>
        <w:t>9.</w:t>
      </w:r>
      <w:r>
        <w:rPr>
          <w:rFonts w:hint="eastAsia" w:hAnsi="黑体" w:cs="黑体"/>
        </w:rPr>
        <w:t xml:space="preserve">3  </w:t>
      </w:r>
      <w:r>
        <w:rPr>
          <w:rFonts w:hint="eastAsia" w:ascii="宋体" w:hAnsi="宋体" w:eastAsia="宋体" w:cs="宋体"/>
        </w:rPr>
        <w:t>应加强节约教育培训，提高员工的节约意识和专业技能水平，减少能源和食材的损耗，避免浪费。</w:t>
      </w:r>
    </w:p>
    <w:p w14:paraId="1EE911F0">
      <w:pPr>
        <w:pStyle w:val="9"/>
      </w:pPr>
    </w:p>
    <w:p w14:paraId="7BE3A625"/>
    <w:p w14:paraId="09F0F4A3"/>
    <w:sectPr>
      <w:headerReference r:id="rId5" w:type="default"/>
      <w:footerReference r:id="rId6" w:type="default"/>
      <w:pgSz w:w="11906" w:h="16838"/>
      <w:pgMar w:top="403" w:right="1418" w:bottom="1151" w:left="10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1AF4D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E7AEF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E7AEF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BD4F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2ECC3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2ECC3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E803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49C3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10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pStyle w:val="11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pStyle w:val="15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0210E"/>
    <w:rsid w:val="3A80210E"/>
    <w:rsid w:val="5875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黑体" w:hAnsi="黑体" w:eastAsia="黑体" w:cs="黑体"/>
      <w:snapToGrid w:val="0"/>
      <w:color w:val="000000"/>
      <w:kern w:val="0"/>
      <w:sz w:val="47"/>
      <w:szCs w:val="47"/>
      <w:lang w:eastAsia="en-US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0"/>
    <w:pPr>
      <w:tabs>
        <w:tab w:val="right" w:leader="dot" w:pos="9242"/>
      </w:tabs>
      <w:spacing w:beforeLines="25" w:afterLines="25"/>
      <w:jc w:val="left"/>
    </w:pPr>
    <w:rPr>
      <w:rFonts w:ascii="宋体" w:hAnsi="Times New Roman" w:eastAsia="宋体" w:cs="Times New Roman"/>
      <w:szCs w:val="21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章标题"/>
    <w:next w:val="9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一级条标题"/>
    <w:next w:val="9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一级无"/>
    <w:basedOn w:val="11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8"/>
      <w:szCs w:val="18"/>
      <w:lang w:eastAsia="en-US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二级条标题"/>
    <w:basedOn w:val="11"/>
    <w:next w:val="9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6">
    <w:name w:val="附录一级条标题"/>
    <w:basedOn w:val="17"/>
    <w:next w:val="9"/>
    <w:qFormat/>
    <w:uiPriority w:val="0"/>
    <w:pPr>
      <w:numPr>
        <w:ilvl w:val="2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17">
    <w:name w:val="附录章标题"/>
    <w:next w:val="9"/>
    <w:qFormat/>
    <w:uiPriority w:val="0"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3905</Words>
  <Characters>4433</Characters>
  <Lines>0</Lines>
  <Paragraphs>0</Paragraphs>
  <TotalTime>1</TotalTime>
  <ScaleCrop>false</ScaleCrop>
  <LinksUpToDate>false</LinksUpToDate>
  <CharactersWithSpaces>4849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2025-12-30T00:36:00Z</dcterms:created>
  <dc:creator>王欣</dc:creator>
  <cp:lastModifiedBy>风筝</cp:lastModifiedBy>
  <dcterms:modified xsi:type="dcterms:W3CDTF">2025-12-30T02:04:28Z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FBBE96F692F8494E9E7F7C970EE94522_13</vt:lpwstr>
  </property>
  <property fmtid="{D5CDD505-2E9C-101B-9397-08002B2CF9AE}" pid="4" name="KSOTemplateDocerSaveRecord">
    <vt:lpwstr>eyJoZGlkIjoiMGU2ZjljZDYyNjNlOTU5NWUyNmVmNjQ0YjJmMDQxZDciLCJ1c2VySWQiOiIyMDQyNzI2MTkifQ==</vt:lpwstr>
  </property>
</Properties>
</file>